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7"/>
        <w:rPr>
          <w:i w:val="0"/>
        </w:rPr>
      </w:pPr>
    </w:p>
    <w:p>
      <w:pPr>
        <w:pStyle w:val="Heading1"/>
        <w:spacing w:before="1"/>
        <w:ind w:left="579"/>
      </w:pPr>
      <w:r>
        <w:rPr>
          <w:spacing w:val="-2"/>
        </w:rPr>
        <w:t>ABSTRAK</w:t>
      </w:r>
    </w:p>
    <w:p>
      <w:pPr>
        <w:pStyle w:val="BodyText"/>
        <w:rPr>
          <w:b/>
          <w:i w:val="0"/>
        </w:rPr>
      </w:pPr>
    </w:p>
    <w:p>
      <w:pPr>
        <w:pStyle w:val="BodyText"/>
        <w:spacing w:before="50"/>
        <w:rPr>
          <w:b/>
          <w:i w:val="0"/>
        </w:rPr>
      </w:pPr>
    </w:p>
    <w:p>
      <w:pPr>
        <w:spacing w:line="280" w:lineRule="auto" w:before="0"/>
        <w:ind w:left="587" w:right="149" w:firstLine="0"/>
        <w:jc w:val="center"/>
        <w:rPr>
          <w:b/>
          <w:sz w:val="24"/>
        </w:rPr>
      </w:pPr>
      <w:r>
        <w:rPr>
          <w:b/>
          <w:sz w:val="24"/>
        </w:rPr>
        <w:t>PERANCANGAN</w:t>
      </w:r>
      <w:r>
        <w:rPr>
          <w:b/>
          <w:spacing w:val="-15"/>
          <w:sz w:val="24"/>
        </w:rPr>
        <w:t> </w:t>
      </w:r>
      <w:r>
        <w:rPr>
          <w:b/>
          <w:sz w:val="24"/>
        </w:rPr>
        <w:t>GEOMETRIK</w:t>
      </w:r>
      <w:r>
        <w:rPr>
          <w:b/>
          <w:spacing w:val="-15"/>
          <w:sz w:val="24"/>
        </w:rPr>
        <w:t> </w:t>
      </w:r>
      <w:r>
        <w:rPr>
          <w:b/>
          <w:sz w:val="24"/>
        </w:rPr>
        <w:t>JALAN</w:t>
      </w:r>
      <w:r>
        <w:rPr>
          <w:b/>
          <w:spacing w:val="-15"/>
          <w:sz w:val="24"/>
        </w:rPr>
        <w:t> </w:t>
      </w:r>
      <w:r>
        <w:rPr>
          <w:b/>
          <w:sz w:val="24"/>
        </w:rPr>
        <w:t>RIGID</w:t>
      </w:r>
      <w:r>
        <w:rPr>
          <w:b/>
          <w:spacing w:val="-15"/>
          <w:sz w:val="24"/>
        </w:rPr>
        <w:t> </w:t>
      </w:r>
      <w:r>
        <w:rPr>
          <w:b/>
          <w:sz w:val="24"/>
        </w:rPr>
        <w:t>PAVEMENT</w:t>
      </w:r>
      <w:r>
        <w:rPr>
          <w:b/>
          <w:spacing w:val="-15"/>
          <w:sz w:val="24"/>
        </w:rPr>
        <w:t> </w:t>
      </w:r>
      <w:r>
        <w:rPr>
          <w:b/>
          <w:sz w:val="24"/>
        </w:rPr>
        <w:t>JALAN</w:t>
      </w:r>
      <w:r>
        <w:rPr>
          <w:b/>
          <w:spacing w:val="-15"/>
          <w:sz w:val="24"/>
        </w:rPr>
        <w:t> </w:t>
      </w:r>
      <w:r>
        <w:rPr>
          <w:b/>
          <w:sz w:val="24"/>
        </w:rPr>
        <w:t>TOL KAYU</w:t>
      </w:r>
      <w:r>
        <w:rPr>
          <w:b/>
          <w:spacing w:val="-11"/>
          <w:sz w:val="24"/>
        </w:rPr>
        <w:t> </w:t>
      </w:r>
      <w:r>
        <w:rPr>
          <w:b/>
          <w:sz w:val="24"/>
        </w:rPr>
        <w:t>AGUNG – PALEMBANG – BETUNG STA</w:t>
      </w:r>
      <w:r>
        <w:rPr>
          <w:b/>
          <w:spacing w:val="-8"/>
          <w:sz w:val="24"/>
        </w:rPr>
        <w:t> </w:t>
      </w:r>
      <w:r>
        <w:rPr>
          <w:b/>
          <w:sz w:val="24"/>
        </w:rPr>
        <w:t>55+300 – STA</w:t>
      </w:r>
      <w:r>
        <w:rPr>
          <w:b/>
          <w:spacing w:val="-8"/>
          <w:sz w:val="24"/>
        </w:rPr>
        <w:t> </w:t>
      </w:r>
      <w:r>
        <w:rPr>
          <w:b/>
          <w:sz w:val="24"/>
        </w:rPr>
        <w:t>60+300</w:t>
      </w:r>
    </w:p>
    <w:p>
      <w:pPr>
        <w:pStyle w:val="BodyText"/>
        <w:spacing w:before="38"/>
        <w:rPr>
          <w:b/>
          <w:i w:val="0"/>
        </w:rPr>
      </w:pPr>
    </w:p>
    <w:p>
      <w:pPr>
        <w:pStyle w:val="Heading2"/>
        <w:spacing w:line="278" w:lineRule="auto"/>
        <w:ind w:left="568" w:right="137"/>
        <w:jc w:val="both"/>
      </w:pPr>
      <w:r>
        <w:rPr/>
        <w:t>Perancangan geometrik jalan merupakan salah satu aspek krusial dalam pembangunan</w:t>
      </w:r>
      <w:r>
        <w:rPr>
          <w:spacing w:val="-15"/>
        </w:rPr>
        <w:t> </w:t>
      </w:r>
      <w:r>
        <w:rPr/>
        <w:t>infrastruktur</w:t>
      </w:r>
      <w:r>
        <w:rPr>
          <w:spacing w:val="-15"/>
        </w:rPr>
        <w:t> </w:t>
      </w:r>
      <w:r>
        <w:rPr/>
        <w:t>transportasi,</w:t>
      </w:r>
      <w:r>
        <w:rPr>
          <w:spacing w:val="-15"/>
        </w:rPr>
        <w:t> </w:t>
      </w:r>
      <w:r>
        <w:rPr/>
        <w:t>khususnya</w:t>
      </w:r>
      <w:r>
        <w:rPr>
          <w:spacing w:val="-15"/>
        </w:rPr>
        <w:t> </w:t>
      </w:r>
      <w:r>
        <w:rPr/>
        <w:t>jalan</w:t>
      </w:r>
      <w:r>
        <w:rPr>
          <w:spacing w:val="-15"/>
        </w:rPr>
        <w:t> </w:t>
      </w:r>
      <w:r>
        <w:rPr/>
        <w:t>tol.</w:t>
      </w:r>
      <w:r>
        <w:rPr>
          <w:spacing w:val="-15"/>
        </w:rPr>
        <w:t> </w:t>
      </w:r>
      <w:r>
        <w:rPr/>
        <w:t>Jalan</w:t>
      </w:r>
      <w:r>
        <w:rPr>
          <w:spacing w:val="-15"/>
        </w:rPr>
        <w:t> </w:t>
      </w:r>
      <w:r>
        <w:rPr/>
        <w:t>Tol</w:t>
      </w:r>
      <w:r>
        <w:rPr>
          <w:spacing w:val="-15"/>
        </w:rPr>
        <w:t> </w:t>
      </w:r>
      <w:r>
        <w:rPr/>
        <w:t>Kayu</w:t>
      </w:r>
      <w:r>
        <w:rPr>
          <w:spacing w:val="-15"/>
        </w:rPr>
        <w:t> </w:t>
      </w:r>
      <w:r>
        <w:rPr/>
        <w:t>Agung – Palembang – Betung memiliki peran strategis dalam meningkatkan konektivitas dan efisiensi distribusi barang serta mobilitas masyarakat di Provinsi Sumatera Selatan. Pada ruas STA 55+300 hingga STA 60+300, dilakukan perancangan geometrik</w:t>
      </w:r>
      <w:r>
        <w:rPr>
          <w:spacing w:val="-2"/>
        </w:rPr>
        <w:t> </w:t>
      </w:r>
      <w:r>
        <w:rPr/>
        <w:t>jalan rigid</w:t>
      </w:r>
      <w:r>
        <w:rPr>
          <w:spacing w:val="-2"/>
        </w:rPr>
        <w:t> </w:t>
      </w:r>
      <w:r>
        <w:rPr/>
        <w:t>pavement</w:t>
      </w:r>
      <w:r>
        <w:rPr>
          <w:spacing w:val="-2"/>
        </w:rPr>
        <w:t> </w:t>
      </w:r>
      <w:r>
        <w:rPr/>
        <w:t>untuk</w:t>
      </w:r>
      <w:r>
        <w:rPr>
          <w:spacing w:val="-2"/>
        </w:rPr>
        <w:t> </w:t>
      </w:r>
      <w:r>
        <w:rPr/>
        <w:t>memastikan jalan</w:t>
      </w:r>
      <w:r>
        <w:rPr>
          <w:spacing w:val="-2"/>
        </w:rPr>
        <w:t> </w:t>
      </w:r>
      <w:r>
        <w:rPr/>
        <w:t>yang dibangun</w:t>
      </w:r>
      <w:r>
        <w:rPr>
          <w:spacing w:val="-3"/>
        </w:rPr>
        <w:t> </w:t>
      </w:r>
      <w:r>
        <w:rPr/>
        <w:t>memenuhi standar keamanan, kenyamanan, dan efisiensi sesuai ketentuan yang berlaku. Proses perancangan ini melibatkan beberapa tahapan penting, yaitu pengumpulan dan analisis data topografi, data lalu lintas, dan data tanah, yang kemudian digunakan sebagai dasar dalam penyusunan desain geometrik jalan. Perancangan meliputi penentuan trase jalan, alinyemen horizontal dan vertikal, pelebaran jalan pada tikungan, perhitungan jari-jari tikungan, superelevasi, serta perencanaan kelandaian maksimum dan minimum. Selain itu, dilakukan pula perhitungan tebal perkerasan rigid pavement dengan mempertimbangkan karakteristik lalu lintas, daya dukung tanah, dan umur rencana perkerasan. Tidak hanya itu, dalam perancangan ini juga disusun rencana anggaran biaya (RAB) dan jadwal pelaksanaan</w:t>
      </w:r>
      <w:r>
        <w:rPr>
          <w:spacing w:val="-5"/>
        </w:rPr>
        <w:t> </w:t>
      </w:r>
      <w:r>
        <w:rPr/>
        <w:t>proyek</w:t>
      </w:r>
      <w:r>
        <w:rPr>
          <w:spacing w:val="-5"/>
        </w:rPr>
        <w:t> </w:t>
      </w:r>
      <w:r>
        <w:rPr/>
        <w:t>yang</w:t>
      </w:r>
      <w:r>
        <w:rPr>
          <w:spacing w:val="-3"/>
        </w:rPr>
        <w:t> </w:t>
      </w:r>
      <w:r>
        <w:rPr/>
        <w:t>mencakup</w:t>
      </w:r>
      <w:r>
        <w:rPr>
          <w:spacing w:val="-5"/>
        </w:rPr>
        <w:t> </w:t>
      </w:r>
      <w:r>
        <w:rPr/>
        <w:t>perhitungan</w:t>
      </w:r>
      <w:r>
        <w:rPr>
          <w:spacing w:val="-5"/>
        </w:rPr>
        <w:t> </w:t>
      </w:r>
      <w:r>
        <w:rPr/>
        <w:t>volume</w:t>
      </w:r>
      <w:r>
        <w:rPr>
          <w:spacing w:val="-5"/>
        </w:rPr>
        <w:t> </w:t>
      </w:r>
      <w:r>
        <w:rPr/>
        <w:t>pekerjaan,</w:t>
      </w:r>
      <w:r>
        <w:rPr>
          <w:spacing w:val="-5"/>
        </w:rPr>
        <w:t> </w:t>
      </w:r>
      <w:r>
        <w:rPr/>
        <w:t>pemilihan</w:t>
      </w:r>
      <w:r>
        <w:rPr>
          <w:spacing w:val="-5"/>
        </w:rPr>
        <w:t> </w:t>
      </w:r>
      <w:r>
        <w:rPr/>
        <w:t>alat berat, analisis harga satuan pekerjaan, serta penyusunan time schedule menggunakan metode network planning. Perencanaan ini bertujuan untuk memastikan pelaksanaan proyek berjalan tepat waktu, tepat biaya, dan tepat mutu.</w:t>
      </w:r>
    </w:p>
    <w:p>
      <w:pPr>
        <w:pStyle w:val="BodyText"/>
        <w:rPr>
          <w:i w:val="0"/>
        </w:rPr>
      </w:pPr>
    </w:p>
    <w:p>
      <w:pPr>
        <w:pStyle w:val="BodyText"/>
        <w:spacing w:before="79"/>
        <w:rPr>
          <w:i w:val="0"/>
        </w:rPr>
      </w:pPr>
    </w:p>
    <w:p>
      <w:pPr>
        <w:spacing w:line="280" w:lineRule="auto" w:before="0"/>
        <w:ind w:left="568" w:right="139" w:firstLine="0"/>
        <w:jc w:val="both"/>
        <w:rPr>
          <w:sz w:val="24"/>
        </w:rPr>
      </w:pPr>
      <w:r>
        <w:rPr>
          <w:b/>
          <w:sz w:val="24"/>
        </w:rPr>
        <w:t>Kata kunci: </w:t>
      </w:r>
      <w:r>
        <w:rPr>
          <w:sz w:val="24"/>
        </w:rPr>
        <w:t>Perancangan Geometrik, Jalan Tol, </w:t>
      </w:r>
      <w:r>
        <w:rPr>
          <w:i/>
          <w:sz w:val="24"/>
        </w:rPr>
        <w:t>Rigid Pavement</w:t>
      </w:r>
      <w:r>
        <w:rPr>
          <w:sz w:val="24"/>
        </w:rPr>
        <w:t>, Jalan Kayu Agung – Palembang – Betung, Sumatera Selatan</w:t>
      </w:r>
    </w:p>
    <w:p>
      <w:pPr>
        <w:spacing w:after="0" w:line="280" w:lineRule="auto"/>
        <w:jc w:val="both"/>
        <w:rPr>
          <w:sz w:val="24"/>
        </w:rPr>
        <w:sectPr>
          <w:footerReference w:type="default" r:id="rId5"/>
          <w:type w:val="continuous"/>
          <w:pgSz w:w="11910" w:h="16840"/>
          <w:pgMar w:header="0" w:footer="1468" w:top="1920" w:bottom="1660" w:left="1700" w:right="1559"/>
          <w:pgNumType w:start="1"/>
        </w:sectPr>
      </w:pPr>
    </w:p>
    <w:p>
      <w:pPr>
        <w:pStyle w:val="BodyText"/>
        <w:spacing w:before="57"/>
        <w:rPr>
          <w:i w:val="0"/>
        </w:rPr>
      </w:pPr>
    </w:p>
    <w:p>
      <w:pPr>
        <w:spacing w:before="1"/>
        <w:ind w:left="579" w:right="153" w:firstLine="0"/>
        <w:jc w:val="center"/>
        <w:rPr>
          <w:b/>
          <w:i/>
          <w:sz w:val="24"/>
        </w:rPr>
      </w:pPr>
      <w:r>
        <w:rPr>
          <w:b/>
          <w:i/>
          <w:spacing w:val="-2"/>
          <w:sz w:val="24"/>
        </w:rPr>
        <w:t>ABSTRACT</w:t>
      </w:r>
    </w:p>
    <w:p>
      <w:pPr>
        <w:pStyle w:val="Heading1"/>
        <w:spacing w:line="278" w:lineRule="auto" w:before="204"/>
      </w:pPr>
      <w:r>
        <w:rPr/>
        <w:t>GEOMETRIC</w:t>
      </w:r>
      <w:r>
        <w:rPr>
          <w:spacing w:val="-15"/>
        </w:rPr>
        <w:t> </w:t>
      </w:r>
      <w:r>
        <w:rPr/>
        <w:t>DESIGN</w:t>
      </w:r>
      <w:r>
        <w:rPr>
          <w:spacing w:val="-15"/>
        </w:rPr>
        <w:t> </w:t>
      </w:r>
      <w:r>
        <w:rPr/>
        <w:t>OF</w:t>
      </w:r>
      <w:r>
        <w:rPr>
          <w:spacing w:val="-15"/>
        </w:rPr>
        <w:t> </w:t>
      </w:r>
      <w:r>
        <w:rPr/>
        <w:t>RIGID</w:t>
      </w:r>
      <w:r>
        <w:rPr>
          <w:spacing w:val="-15"/>
        </w:rPr>
        <w:t> </w:t>
      </w:r>
      <w:r>
        <w:rPr/>
        <w:t>PAVEMENT</w:t>
      </w:r>
      <w:r>
        <w:rPr>
          <w:spacing w:val="-15"/>
        </w:rPr>
        <w:t> </w:t>
      </w:r>
      <w:r>
        <w:rPr/>
        <w:t>FOR</w:t>
      </w:r>
      <w:r>
        <w:rPr>
          <w:spacing w:val="-15"/>
        </w:rPr>
        <w:t> </w:t>
      </w:r>
      <w:r>
        <w:rPr/>
        <w:t>THE</w:t>
      </w:r>
      <w:r>
        <w:rPr>
          <w:spacing w:val="-15"/>
        </w:rPr>
        <w:t> </w:t>
      </w:r>
      <w:r>
        <w:rPr/>
        <w:t>KAYU</w:t>
      </w:r>
      <w:r>
        <w:rPr>
          <w:spacing w:val="-16"/>
        </w:rPr>
        <w:t> </w:t>
      </w:r>
      <w:r>
        <w:rPr/>
        <w:t>AGUNG – PALEMBANG – BETUNG</w:t>
      </w:r>
      <w:r>
        <w:rPr>
          <w:spacing w:val="-3"/>
        </w:rPr>
        <w:t> </w:t>
      </w:r>
      <w:r>
        <w:rPr/>
        <w:t>TOLL</w:t>
      </w:r>
      <w:r>
        <w:rPr>
          <w:spacing w:val="-12"/>
        </w:rPr>
        <w:t> </w:t>
      </w:r>
      <w:r>
        <w:rPr/>
        <w:t>ROAD, STATIONS 55+300</w:t>
      </w:r>
      <w:r>
        <w:rPr>
          <w:spacing w:val="-3"/>
        </w:rPr>
        <w:t> </w:t>
      </w:r>
      <w:r>
        <w:rPr/>
        <w:t>TO 60+300</w:t>
      </w:r>
    </w:p>
    <w:p>
      <w:pPr>
        <w:pStyle w:val="BodyText"/>
        <w:spacing w:line="278" w:lineRule="auto" w:before="159"/>
        <w:ind w:left="568" w:right="136"/>
        <w:jc w:val="both"/>
      </w:pPr>
      <w:r>
        <w:rPr/>
        <w:t>Geometric road design is one of the crucial aspects in the development of transportation infrastructure, particularly toll roads. The Kayu Agung – Palembang</w:t>
      </w:r>
      <w:r>
        <w:rPr>
          <w:spacing w:val="-13"/>
        </w:rPr>
        <w:t> </w:t>
      </w:r>
      <w:r>
        <w:rPr/>
        <w:t>–</w:t>
      </w:r>
      <w:r>
        <w:rPr>
          <w:spacing w:val="-11"/>
        </w:rPr>
        <w:t> </w:t>
      </w:r>
      <w:r>
        <w:rPr/>
        <w:t>Betung</w:t>
      </w:r>
      <w:r>
        <w:rPr>
          <w:spacing w:val="-11"/>
        </w:rPr>
        <w:t> </w:t>
      </w:r>
      <w:r>
        <w:rPr/>
        <w:t>Toll</w:t>
      </w:r>
      <w:r>
        <w:rPr>
          <w:spacing w:val="-13"/>
        </w:rPr>
        <w:t> </w:t>
      </w:r>
      <w:r>
        <w:rPr/>
        <w:t>Road</w:t>
      </w:r>
      <w:r>
        <w:rPr>
          <w:spacing w:val="-13"/>
        </w:rPr>
        <w:t> </w:t>
      </w:r>
      <w:r>
        <w:rPr/>
        <w:t>plays</w:t>
      </w:r>
      <w:r>
        <w:rPr>
          <w:spacing w:val="-12"/>
        </w:rPr>
        <w:t> </w:t>
      </w:r>
      <w:r>
        <w:rPr/>
        <w:t>a</w:t>
      </w:r>
      <w:r>
        <w:rPr>
          <w:spacing w:val="-13"/>
        </w:rPr>
        <w:t> </w:t>
      </w:r>
      <w:r>
        <w:rPr/>
        <w:t>strategic</w:t>
      </w:r>
      <w:r>
        <w:rPr>
          <w:spacing w:val="-12"/>
        </w:rPr>
        <w:t> </w:t>
      </w:r>
      <w:r>
        <w:rPr/>
        <w:t>role</w:t>
      </w:r>
      <w:r>
        <w:rPr>
          <w:spacing w:val="-13"/>
        </w:rPr>
        <w:t> </w:t>
      </w:r>
      <w:r>
        <w:rPr/>
        <w:t>in</w:t>
      </w:r>
      <w:r>
        <w:rPr>
          <w:spacing w:val="-13"/>
        </w:rPr>
        <w:t> </w:t>
      </w:r>
      <w:r>
        <w:rPr/>
        <w:t>improving</w:t>
      </w:r>
      <w:r>
        <w:rPr>
          <w:spacing w:val="-13"/>
        </w:rPr>
        <w:t> </w:t>
      </w:r>
      <w:r>
        <w:rPr/>
        <w:t>connectivity</w:t>
      </w:r>
      <w:r>
        <w:rPr>
          <w:spacing w:val="-14"/>
        </w:rPr>
        <w:t> </w:t>
      </w:r>
      <w:r>
        <w:rPr/>
        <w:t>and enhancing the efficiency of goods distribution and community mobility in South Sumatra Province. This study focuses on the geometric design of rigid pavement along the road section from STA 55+300 to STA 60+300 to ensure that the road meets</w:t>
      </w:r>
      <w:r>
        <w:rPr>
          <w:spacing w:val="-15"/>
        </w:rPr>
        <w:t> </w:t>
      </w:r>
      <w:r>
        <w:rPr/>
        <w:t>the</w:t>
      </w:r>
      <w:r>
        <w:rPr>
          <w:spacing w:val="-15"/>
        </w:rPr>
        <w:t> </w:t>
      </w:r>
      <w:r>
        <w:rPr/>
        <w:t>standards</w:t>
      </w:r>
      <w:r>
        <w:rPr>
          <w:spacing w:val="-15"/>
        </w:rPr>
        <w:t> </w:t>
      </w:r>
      <w:r>
        <w:rPr/>
        <w:t>of</w:t>
      </w:r>
      <w:r>
        <w:rPr>
          <w:spacing w:val="-15"/>
        </w:rPr>
        <w:t> </w:t>
      </w:r>
      <w:r>
        <w:rPr/>
        <w:t>safety,</w:t>
      </w:r>
      <w:r>
        <w:rPr>
          <w:spacing w:val="-15"/>
        </w:rPr>
        <w:t> </w:t>
      </w:r>
      <w:r>
        <w:rPr/>
        <w:t>comfort,</w:t>
      </w:r>
      <w:r>
        <w:rPr>
          <w:spacing w:val="-15"/>
        </w:rPr>
        <w:t> </w:t>
      </w:r>
      <w:r>
        <w:rPr/>
        <w:t>and</w:t>
      </w:r>
      <w:r>
        <w:rPr>
          <w:spacing w:val="-15"/>
        </w:rPr>
        <w:t> </w:t>
      </w:r>
      <w:r>
        <w:rPr/>
        <w:t>efficiency</w:t>
      </w:r>
      <w:r>
        <w:rPr>
          <w:spacing w:val="-15"/>
        </w:rPr>
        <w:t> </w:t>
      </w:r>
      <w:r>
        <w:rPr/>
        <w:t>in</w:t>
      </w:r>
      <w:r>
        <w:rPr>
          <w:spacing w:val="-15"/>
        </w:rPr>
        <w:t> </w:t>
      </w:r>
      <w:r>
        <w:rPr/>
        <w:t>accordance</w:t>
      </w:r>
      <w:r>
        <w:rPr>
          <w:spacing w:val="-15"/>
        </w:rPr>
        <w:t> </w:t>
      </w:r>
      <w:r>
        <w:rPr/>
        <w:t>with</w:t>
      </w:r>
      <w:r>
        <w:rPr>
          <w:spacing w:val="-15"/>
        </w:rPr>
        <w:t> </w:t>
      </w:r>
      <w:r>
        <w:rPr/>
        <w:t>applicable regulations. The design process involves several essential stages, including the collection</w:t>
      </w:r>
      <w:r>
        <w:rPr>
          <w:spacing w:val="-8"/>
        </w:rPr>
        <w:t> </w:t>
      </w:r>
      <w:r>
        <w:rPr/>
        <w:t>and</w:t>
      </w:r>
      <w:r>
        <w:rPr>
          <w:spacing w:val="-8"/>
        </w:rPr>
        <w:t> </w:t>
      </w:r>
      <w:r>
        <w:rPr/>
        <w:t>analysis</w:t>
      </w:r>
      <w:r>
        <w:rPr>
          <w:spacing w:val="-8"/>
        </w:rPr>
        <w:t> </w:t>
      </w:r>
      <w:r>
        <w:rPr/>
        <w:t>of</w:t>
      </w:r>
      <w:r>
        <w:rPr>
          <w:spacing w:val="-10"/>
        </w:rPr>
        <w:t> </w:t>
      </w:r>
      <w:r>
        <w:rPr/>
        <w:t>topographic</w:t>
      </w:r>
      <w:r>
        <w:rPr>
          <w:spacing w:val="-9"/>
        </w:rPr>
        <w:t> </w:t>
      </w:r>
      <w:r>
        <w:rPr/>
        <w:t>data,</w:t>
      </w:r>
      <w:r>
        <w:rPr>
          <w:spacing w:val="-8"/>
        </w:rPr>
        <w:t> </w:t>
      </w:r>
      <w:r>
        <w:rPr/>
        <w:t>traffic</w:t>
      </w:r>
      <w:r>
        <w:rPr>
          <w:spacing w:val="-11"/>
        </w:rPr>
        <w:t> </w:t>
      </w:r>
      <w:r>
        <w:rPr/>
        <w:t>data,</w:t>
      </w:r>
      <w:r>
        <w:rPr>
          <w:spacing w:val="-8"/>
        </w:rPr>
        <w:t> </w:t>
      </w:r>
      <w:r>
        <w:rPr/>
        <w:t>and</w:t>
      </w:r>
      <w:r>
        <w:rPr>
          <w:spacing w:val="-8"/>
        </w:rPr>
        <w:t> </w:t>
      </w:r>
      <w:r>
        <w:rPr/>
        <w:t>soil</w:t>
      </w:r>
      <w:r>
        <w:rPr>
          <w:spacing w:val="-8"/>
        </w:rPr>
        <w:t> </w:t>
      </w:r>
      <w:r>
        <w:rPr/>
        <w:t>data,</w:t>
      </w:r>
      <w:r>
        <w:rPr>
          <w:spacing w:val="-10"/>
        </w:rPr>
        <w:t> </w:t>
      </w:r>
      <w:r>
        <w:rPr/>
        <w:t>which</w:t>
      </w:r>
      <w:r>
        <w:rPr>
          <w:spacing w:val="-9"/>
        </w:rPr>
        <w:t> </w:t>
      </w:r>
      <w:r>
        <w:rPr/>
        <w:t>serve as</w:t>
      </w:r>
      <w:r>
        <w:rPr>
          <w:spacing w:val="-15"/>
        </w:rPr>
        <w:t> </w:t>
      </w:r>
      <w:r>
        <w:rPr/>
        <w:t>the</w:t>
      </w:r>
      <w:r>
        <w:rPr>
          <w:spacing w:val="-15"/>
        </w:rPr>
        <w:t> </w:t>
      </w:r>
      <w:r>
        <w:rPr/>
        <w:t>foundation</w:t>
      </w:r>
      <w:r>
        <w:rPr>
          <w:spacing w:val="-15"/>
        </w:rPr>
        <w:t> </w:t>
      </w:r>
      <w:r>
        <w:rPr/>
        <w:t>for</w:t>
      </w:r>
      <w:r>
        <w:rPr>
          <w:spacing w:val="-15"/>
        </w:rPr>
        <w:t> </w:t>
      </w:r>
      <w:r>
        <w:rPr/>
        <w:t>developing</w:t>
      </w:r>
      <w:r>
        <w:rPr>
          <w:spacing w:val="-15"/>
        </w:rPr>
        <w:t> </w:t>
      </w:r>
      <w:r>
        <w:rPr/>
        <w:t>the</w:t>
      </w:r>
      <w:r>
        <w:rPr>
          <w:spacing w:val="-15"/>
        </w:rPr>
        <w:t> </w:t>
      </w:r>
      <w:r>
        <w:rPr/>
        <w:t>geometric</w:t>
      </w:r>
      <w:r>
        <w:rPr>
          <w:spacing w:val="-15"/>
        </w:rPr>
        <w:t> </w:t>
      </w:r>
      <w:r>
        <w:rPr/>
        <w:t>road</w:t>
      </w:r>
      <w:r>
        <w:rPr>
          <w:spacing w:val="-15"/>
        </w:rPr>
        <w:t> </w:t>
      </w:r>
      <w:r>
        <w:rPr/>
        <w:t>design.</w:t>
      </w:r>
      <w:r>
        <w:rPr>
          <w:spacing w:val="-15"/>
        </w:rPr>
        <w:t> </w:t>
      </w:r>
      <w:r>
        <w:rPr/>
        <w:t>The</w:t>
      </w:r>
      <w:r>
        <w:rPr>
          <w:spacing w:val="-15"/>
        </w:rPr>
        <w:t> </w:t>
      </w:r>
      <w:r>
        <w:rPr/>
        <w:t>design</w:t>
      </w:r>
      <w:r>
        <w:rPr>
          <w:spacing w:val="-15"/>
        </w:rPr>
        <w:t> </w:t>
      </w:r>
      <w:r>
        <w:rPr/>
        <w:t>covers</w:t>
      </w:r>
      <w:r>
        <w:rPr>
          <w:spacing w:val="-15"/>
        </w:rPr>
        <w:t> </w:t>
      </w:r>
      <w:r>
        <w:rPr/>
        <w:t>route alignment determination, horizontal and</w:t>
      </w:r>
      <w:r>
        <w:rPr>
          <w:spacing w:val="-1"/>
        </w:rPr>
        <w:t> </w:t>
      </w:r>
      <w:r>
        <w:rPr/>
        <w:t>vertical alignment design, road</w:t>
      </w:r>
      <w:r>
        <w:rPr>
          <w:spacing w:val="-1"/>
        </w:rPr>
        <w:t> </w:t>
      </w:r>
      <w:r>
        <w:rPr/>
        <w:t>widening at curves, curve radius calculation, superelevation, and the planning of maximum and minimum slopes. Additionally, the rigid pavement thickness is calculated by considering</w:t>
      </w:r>
      <w:r>
        <w:rPr>
          <w:spacing w:val="-15"/>
        </w:rPr>
        <w:t> </w:t>
      </w:r>
      <w:r>
        <w:rPr/>
        <w:t>traffic</w:t>
      </w:r>
      <w:r>
        <w:rPr>
          <w:spacing w:val="-15"/>
        </w:rPr>
        <w:t> </w:t>
      </w:r>
      <w:r>
        <w:rPr/>
        <w:t>characteristics,</w:t>
      </w:r>
      <w:r>
        <w:rPr>
          <w:spacing w:val="-15"/>
        </w:rPr>
        <w:t> </w:t>
      </w:r>
      <w:r>
        <w:rPr/>
        <w:t>soil</w:t>
      </w:r>
      <w:r>
        <w:rPr>
          <w:spacing w:val="-15"/>
        </w:rPr>
        <w:t> </w:t>
      </w:r>
      <w:r>
        <w:rPr/>
        <w:t>bearing</w:t>
      </w:r>
      <w:r>
        <w:rPr>
          <w:spacing w:val="-15"/>
        </w:rPr>
        <w:t> </w:t>
      </w:r>
      <w:r>
        <w:rPr/>
        <w:t>capacity,</w:t>
      </w:r>
      <w:r>
        <w:rPr>
          <w:spacing w:val="-15"/>
        </w:rPr>
        <w:t> </w:t>
      </w:r>
      <w:r>
        <w:rPr/>
        <w:t>and</w:t>
      </w:r>
      <w:r>
        <w:rPr>
          <w:spacing w:val="-15"/>
        </w:rPr>
        <w:t> </w:t>
      </w:r>
      <w:r>
        <w:rPr/>
        <w:t>the</w:t>
      </w:r>
      <w:r>
        <w:rPr>
          <w:spacing w:val="-15"/>
        </w:rPr>
        <w:t> </w:t>
      </w:r>
      <w:r>
        <w:rPr/>
        <w:t>planned</w:t>
      </w:r>
      <w:r>
        <w:rPr>
          <w:spacing w:val="-15"/>
        </w:rPr>
        <w:t> </w:t>
      </w:r>
      <w:r>
        <w:rPr/>
        <w:t>pavement service life. Moreover, the project also includes the preparation of the project budget plan (RAB) and project implementation schedule, covering volume calculations, heavy equipment selection, unit price analysis, and time schedule planning using network planning methods. This planning aims to ensure that the project is completed on time, within budget, and with high quality.</w:t>
      </w:r>
    </w:p>
    <w:p>
      <w:pPr>
        <w:pStyle w:val="BodyText"/>
        <w:spacing w:line="280" w:lineRule="auto" w:before="151"/>
        <w:ind w:left="568" w:right="136"/>
        <w:jc w:val="both"/>
      </w:pPr>
      <w:r>
        <w:rPr>
          <w:b/>
        </w:rPr>
        <w:t>Keywords: </w:t>
      </w:r>
      <w:r>
        <w:rPr/>
        <w:t>Geometric Design, Toll Road, Rigid Pavement, Kayu Agung – Palembang – Betung Road, South Sumatra</w:t>
      </w:r>
    </w:p>
    <w:sectPr>
      <w:footerReference w:type="default" r:id="rId6"/>
      <w:pgSz w:w="11910" w:h="16840"/>
      <w:pgMar w:header="0" w:footer="1468" w:top="1920" w:bottom="16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58144">
              <wp:simplePos x="0" y="0"/>
              <wp:positionH relativeFrom="page">
                <wp:posOffset>3896995</wp:posOffset>
              </wp:positionH>
              <wp:positionV relativeFrom="page">
                <wp:posOffset>9617455</wp:posOffset>
              </wp:positionV>
              <wp:extent cx="129539"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9539" cy="177800"/>
                      </a:xfrm>
                      <a:prstGeom prst="rect">
                        <a:avLst/>
                      </a:prstGeom>
                    </wps:spPr>
                    <wps:txbx>
                      <w:txbxContent>
                        <w:p>
                          <w:pPr>
                            <w:spacing w:line="264" w:lineRule="exact" w:before="0"/>
                            <w:ind w:left="20" w:right="0" w:firstLine="0"/>
                            <w:jc w:val="left"/>
                            <w:rPr>
                              <w:rFonts w:ascii="Calibri"/>
                              <w:sz w:val="24"/>
                            </w:rPr>
                          </w:pPr>
                          <w:r>
                            <w:rPr>
                              <w:rFonts w:ascii="Calibri"/>
                              <w:spacing w:val="-5"/>
                              <w:sz w:val="24"/>
                            </w:rPr>
                            <w:t>iv</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850006pt;margin-top:757.279968pt;width:10.2pt;height:14pt;mso-position-horizontal-relative:page;mso-position-vertical-relative:page;z-index:-15758336" type="#_x0000_t202" id="docshape1" filled="false" stroked="false">
              <v:textbox inset="0,0,0,0">
                <w:txbxContent>
                  <w:p>
                    <w:pPr>
                      <w:spacing w:line="264" w:lineRule="exact" w:before="0"/>
                      <w:ind w:left="20" w:right="0" w:firstLine="0"/>
                      <w:jc w:val="left"/>
                      <w:rPr>
                        <w:rFonts w:ascii="Calibri"/>
                        <w:sz w:val="24"/>
                      </w:rPr>
                    </w:pPr>
                    <w:r>
                      <w:rPr>
                        <w:rFonts w:ascii="Calibri"/>
                        <w:spacing w:val="-5"/>
                        <w:sz w:val="24"/>
                      </w:rPr>
                      <w:t>iv</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58656">
              <wp:simplePos x="0" y="0"/>
              <wp:positionH relativeFrom="page">
                <wp:posOffset>3913759</wp:posOffset>
              </wp:positionH>
              <wp:positionV relativeFrom="page">
                <wp:posOffset>9617455</wp:posOffset>
              </wp:positionV>
              <wp:extent cx="94615"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4615" cy="177800"/>
                      </a:xfrm>
                      <a:prstGeom prst="rect">
                        <a:avLst/>
                      </a:prstGeom>
                    </wps:spPr>
                    <wps:txbx>
                      <w:txbxContent>
                        <w:p>
                          <w:pPr>
                            <w:spacing w:line="264" w:lineRule="exact" w:before="0"/>
                            <w:ind w:left="20" w:right="0" w:firstLine="0"/>
                            <w:jc w:val="left"/>
                            <w:rPr>
                              <w:rFonts w:ascii="Calibri"/>
                              <w:sz w:val="24"/>
                            </w:rPr>
                          </w:pPr>
                          <w:r>
                            <w:rPr>
                              <w:rFonts w:ascii="Calibri"/>
                              <w:spacing w:val="-10"/>
                              <w:sz w:val="24"/>
                            </w:rPr>
                            <w:t>v</w:t>
                          </w:r>
                        </w:p>
                      </w:txbxContent>
                    </wps:txbx>
                    <wps:bodyPr wrap="square" lIns="0" tIns="0" rIns="0" bIns="0" rtlCol="0">
                      <a:noAutofit/>
                    </wps:bodyPr>
                  </wps:wsp>
                </a:graphicData>
              </a:graphic>
            </wp:anchor>
          </w:drawing>
        </mc:Choice>
        <mc:Fallback>
          <w:pict>
            <v:shape style="position:absolute;margin-left:308.170013pt;margin-top:757.279968pt;width:7.45pt;height:14pt;mso-position-horizontal-relative:page;mso-position-vertical-relative:page;z-index:-15757824" type="#_x0000_t202" id="docshape2" filled="false" stroked="false">
              <v:textbox inset="0,0,0,0">
                <w:txbxContent>
                  <w:p>
                    <w:pPr>
                      <w:spacing w:line="264" w:lineRule="exact" w:before="0"/>
                      <w:ind w:left="20" w:right="0" w:firstLine="0"/>
                      <w:jc w:val="left"/>
                      <w:rPr>
                        <w:rFonts w:ascii="Calibri"/>
                        <w:sz w:val="24"/>
                      </w:rPr>
                    </w:pPr>
                    <w:r>
                      <w:rPr>
                        <w:rFonts w:ascii="Calibri"/>
                        <w:spacing w:val="-10"/>
                        <w:sz w:val="24"/>
                      </w:rPr>
                      <w:t>v</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ind w:left="577" w:right="153"/>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spacing w:line="264" w:lineRule="exact"/>
      <w:ind w:left="20"/>
      <w:outlineLvl w:val="2"/>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2025-09-06T04:15:37Z</dcterms:created>
  <dcterms:modified xsi:type="dcterms:W3CDTF">2025-09-06T04:15:37Z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2025-09-06T00:00:00Z</vt:filetime>
  </property>
  <property fmtid="{D5CDD505-2E9C-101B-9397-08002B2CF9AE}" pid="3" name="LastSaved">
    <vt:filetime>2025-09-06T00:00:00Z</vt:filetime>
  </property>
  <property fmtid="{D5CDD505-2E9C-101B-9397-08002B2CF9AE}" pid="4" name="Producer">
    <vt:lpwstr>iLovePDF</vt:lpwstr>
  </property>
</Properties>
</file>