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pPr>
    </w:p>
    <w:p>
      <w:pPr>
        <w:pStyle w:val="Heading1"/>
      </w:pPr>
      <w:r>
        <w:rPr>
          <w:spacing w:val="-2"/>
        </w:rPr>
        <w:t>ABSTRAK</w:t>
      </w:r>
    </w:p>
    <w:p>
      <w:pPr>
        <w:pStyle w:val="BodyText"/>
        <w:spacing w:line="360" w:lineRule="auto" w:before="139"/>
        <w:ind w:right="133" w:firstLine="739"/>
        <w:jc w:val="both"/>
      </w:pPr>
      <w:r>
        <w:rPr/>
        <w:t>Jembatan Air Gaung Kecil merupakan jembatan yang terletak pada ruas jalan raya Kepahiang – Pagar Alam. Jalan tersebut merupakan jalur utama penghubung Provinsi Bengkulu dan Provinsi Sumatera Selatan khususnya Kabupaten</w:t>
      </w:r>
      <w:r>
        <w:rPr>
          <w:spacing w:val="-1"/>
        </w:rPr>
        <w:t> </w:t>
      </w:r>
      <w:r>
        <w:rPr/>
        <w:t>Kepahang</w:t>
      </w:r>
      <w:r>
        <w:rPr>
          <w:spacing w:val="-3"/>
        </w:rPr>
        <w:t> </w:t>
      </w:r>
      <w:r>
        <w:rPr/>
        <w:t>dan</w:t>
      </w:r>
      <w:r>
        <w:rPr>
          <w:spacing w:val="-3"/>
        </w:rPr>
        <w:t> </w:t>
      </w:r>
      <w:r>
        <w:rPr/>
        <w:t>Kota</w:t>
      </w:r>
      <w:r>
        <w:rPr>
          <w:spacing w:val="-4"/>
        </w:rPr>
        <w:t> </w:t>
      </w:r>
      <w:r>
        <w:rPr/>
        <w:t>Pagar</w:t>
      </w:r>
      <w:r>
        <w:rPr>
          <w:spacing w:val="-3"/>
        </w:rPr>
        <w:t> </w:t>
      </w:r>
      <w:r>
        <w:rPr/>
        <w:t>Alam.</w:t>
      </w:r>
      <w:r>
        <w:rPr>
          <w:spacing w:val="-3"/>
        </w:rPr>
        <w:t> </w:t>
      </w:r>
      <w:r>
        <w:rPr/>
        <w:t>Jembatan</w:t>
      </w:r>
      <w:r>
        <w:rPr>
          <w:spacing w:val="-3"/>
        </w:rPr>
        <w:t> </w:t>
      </w:r>
      <w:r>
        <w:rPr/>
        <w:t>ini</w:t>
      </w:r>
      <w:r>
        <w:rPr>
          <w:spacing w:val="-2"/>
        </w:rPr>
        <w:t> </w:t>
      </w:r>
      <w:r>
        <w:rPr/>
        <w:t>memiliki</w:t>
      </w:r>
      <w:r>
        <w:rPr>
          <w:spacing w:val="-1"/>
        </w:rPr>
        <w:t> </w:t>
      </w:r>
      <w:r>
        <w:rPr/>
        <w:t>bentang</w:t>
      </w:r>
      <w:r>
        <w:rPr>
          <w:spacing w:val="-3"/>
        </w:rPr>
        <w:t> </w:t>
      </w:r>
      <w:r>
        <w:rPr/>
        <w:t>bersih 30,6</w:t>
      </w:r>
      <w:r>
        <w:rPr>
          <w:spacing w:val="-11"/>
        </w:rPr>
        <w:t> </w:t>
      </w:r>
      <w:r>
        <w:rPr/>
        <w:t>m</w:t>
      </w:r>
      <w:r>
        <w:rPr>
          <w:spacing w:val="-13"/>
        </w:rPr>
        <w:t> </w:t>
      </w:r>
      <w:r>
        <w:rPr/>
        <w:t>dan</w:t>
      </w:r>
      <w:r>
        <w:rPr>
          <w:spacing w:val="-11"/>
        </w:rPr>
        <w:t> </w:t>
      </w:r>
      <w:r>
        <w:rPr/>
        <w:t>dirancang</w:t>
      </w:r>
      <w:r>
        <w:rPr>
          <w:spacing w:val="-10"/>
        </w:rPr>
        <w:t> </w:t>
      </w:r>
      <w:r>
        <w:rPr/>
        <w:t>dengan</w:t>
      </w:r>
      <w:r>
        <w:rPr>
          <w:spacing w:val="-11"/>
        </w:rPr>
        <w:t> </w:t>
      </w:r>
      <w:r>
        <w:rPr/>
        <w:t>girder</w:t>
      </w:r>
      <w:r>
        <w:rPr>
          <w:spacing w:val="-13"/>
        </w:rPr>
        <w:t> </w:t>
      </w:r>
      <w:r>
        <w:rPr/>
        <w:t>beton</w:t>
      </w:r>
      <w:r>
        <w:rPr>
          <w:spacing w:val="-10"/>
        </w:rPr>
        <w:t> </w:t>
      </w:r>
      <w:r>
        <w:rPr/>
        <w:t>prategang</w:t>
      </w:r>
      <w:r>
        <w:rPr>
          <w:spacing w:val="-12"/>
        </w:rPr>
        <w:t> </w:t>
      </w:r>
      <w:r>
        <w:rPr/>
        <w:t>berpenampang</w:t>
      </w:r>
      <w:r>
        <w:rPr>
          <w:spacing w:val="-8"/>
        </w:rPr>
        <w:t> </w:t>
      </w:r>
      <w:r>
        <w:rPr/>
        <w:t>I</w:t>
      </w:r>
      <w:r>
        <w:rPr>
          <w:spacing w:val="-15"/>
        </w:rPr>
        <w:t> </w:t>
      </w:r>
      <w:r>
        <w:rPr/>
        <w:t>(PCI</w:t>
      </w:r>
      <w:r>
        <w:rPr>
          <w:spacing w:val="-15"/>
        </w:rPr>
        <w:t> </w:t>
      </w:r>
      <w:r>
        <w:rPr>
          <w:i/>
        </w:rPr>
        <w:t>Girder</w:t>
      </w:r>
      <w:r>
        <w:rPr/>
        <w:t>). Penggunaan girder prategang PCI </w:t>
      </w:r>
      <w:r>
        <w:rPr>
          <w:i/>
        </w:rPr>
        <w:t>Girder </w:t>
      </w:r>
      <w:r>
        <w:rPr/>
        <w:t>ini dinilai lebih efisin terhadap bentang menengah dan lebih praktis dalam metode pekerjaan.</w:t>
      </w:r>
    </w:p>
    <w:p>
      <w:pPr>
        <w:pStyle w:val="BodyText"/>
        <w:spacing w:line="360" w:lineRule="auto" w:before="161"/>
        <w:ind w:right="132" w:firstLine="679"/>
        <w:jc w:val="both"/>
      </w:pPr>
      <w:r>
        <w:rPr/>
        <w:t>Jembatan Air Gaung Kecil ini dirancang dengan memiliki lima buah girder prategang berpenampang I dengan jumah tendon sebanyak empat buah dan </w:t>
      </w:r>
      <w:r>
        <w:rPr>
          <w:i/>
        </w:rPr>
        <w:t>PC Strands </w:t>
      </w:r>
      <w:r>
        <w:rPr/>
        <w:t>sebanyak 68 buah serta segmen girder sebanyak lima segmen, dan pelat lantai dirancang dengan ketebalan 20 cm dengan mutu beton fc’30 Mpa. Struktur bawah pada jembatan ini dirancang dengan dua buah abutment di kedua sisi dan pondasi jembatan menggunakan pondasi sumuran dengan kedalaman lima meter serta</w:t>
      </w:r>
      <w:r>
        <w:rPr>
          <w:spacing w:val="-15"/>
        </w:rPr>
        <w:t> </w:t>
      </w:r>
      <w:r>
        <w:rPr/>
        <w:t>diameter</w:t>
      </w:r>
      <w:r>
        <w:rPr>
          <w:spacing w:val="-14"/>
        </w:rPr>
        <w:t> </w:t>
      </w:r>
      <w:r>
        <w:rPr/>
        <w:t>pondasi</w:t>
      </w:r>
      <w:r>
        <w:rPr>
          <w:spacing w:val="-13"/>
        </w:rPr>
        <w:t> </w:t>
      </w:r>
      <w:r>
        <w:rPr/>
        <w:t>sebesar</w:t>
      </w:r>
      <w:r>
        <w:rPr>
          <w:spacing w:val="-15"/>
        </w:rPr>
        <w:t> </w:t>
      </w:r>
      <w:r>
        <w:rPr/>
        <w:t>tiga</w:t>
      </w:r>
      <w:r>
        <w:rPr>
          <w:spacing w:val="-15"/>
        </w:rPr>
        <w:t> </w:t>
      </w:r>
      <w:r>
        <w:rPr/>
        <w:t>meter.</w:t>
      </w:r>
      <w:r>
        <w:rPr>
          <w:spacing w:val="-14"/>
        </w:rPr>
        <w:t> </w:t>
      </w:r>
      <w:r>
        <w:rPr/>
        <w:t>Pada</w:t>
      </w:r>
      <w:r>
        <w:rPr>
          <w:spacing w:val="-15"/>
        </w:rPr>
        <w:t> </w:t>
      </w:r>
      <w:r>
        <w:rPr/>
        <w:t>bangunan</w:t>
      </w:r>
      <w:r>
        <w:rPr>
          <w:spacing w:val="-14"/>
        </w:rPr>
        <w:t> </w:t>
      </w:r>
      <w:r>
        <w:rPr/>
        <w:t>pelengkap</w:t>
      </w:r>
      <w:r>
        <w:rPr>
          <w:spacing w:val="-13"/>
        </w:rPr>
        <w:t> </w:t>
      </w:r>
      <w:r>
        <w:rPr/>
        <w:t>juga</w:t>
      </w:r>
      <w:r>
        <w:rPr>
          <w:spacing w:val="-14"/>
        </w:rPr>
        <w:t> </w:t>
      </w:r>
      <w:r>
        <w:rPr/>
        <w:t>dirancang </w:t>
      </w:r>
      <w:r>
        <w:rPr>
          <w:i/>
        </w:rPr>
        <w:t>wing wall </w:t>
      </w:r>
      <w:r>
        <w:rPr/>
        <w:t>abutment, galian timbunan oprit jembatan serta perkerasan lentur pada oprit jembatan dan lapis aspal pada lantai jembatan setebal lima cm. Biaya yang digunakan</w:t>
      </w:r>
      <w:r>
        <w:rPr>
          <w:spacing w:val="-9"/>
        </w:rPr>
        <w:t> </w:t>
      </w:r>
      <w:r>
        <w:rPr/>
        <w:t>untuk</w:t>
      </w:r>
      <w:r>
        <w:rPr>
          <w:spacing w:val="-11"/>
        </w:rPr>
        <w:t> </w:t>
      </w:r>
      <w:r>
        <w:rPr/>
        <w:t>pembangunan</w:t>
      </w:r>
      <w:r>
        <w:rPr>
          <w:spacing w:val="-9"/>
        </w:rPr>
        <w:t> </w:t>
      </w:r>
      <w:r>
        <w:rPr/>
        <w:t>jembatan</w:t>
      </w:r>
      <w:r>
        <w:rPr>
          <w:spacing w:val="-9"/>
        </w:rPr>
        <w:t> </w:t>
      </w:r>
      <w:r>
        <w:rPr/>
        <w:t>ini</w:t>
      </w:r>
      <w:r>
        <w:rPr>
          <w:spacing w:val="-11"/>
        </w:rPr>
        <w:t> </w:t>
      </w:r>
      <w:r>
        <w:rPr/>
        <w:t>yaitu</w:t>
      </w:r>
      <w:r>
        <w:rPr>
          <w:spacing w:val="-13"/>
        </w:rPr>
        <w:t> </w:t>
      </w:r>
      <w:r>
        <w:rPr/>
        <w:t>sebesar</w:t>
      </w:r>
      <w:r>
        <w:rPr>
          <w:spacing w:val="-10"/>
        </w:rPr>
        <w:t> </w:t>
      </w:r>
      <w:r>
        <w:rPr/>
        <w:t>Rp6.811.875.000,00</w:t>
      </w:r>
      <w:r>
        <w:rPr>
          <w:spacing w:val="-11"/>
        </w:rPr>
        <w:t> </w:t>
      </w:r>
      <w:r>
        <w:rPr/>
        <w:t>dan waktu pelaksanaan pekerjaan selama 282 hari.</w:t>
      </w:r>
    </w:p>
    <w:p>
      <w:pPr>
        <w:spacing w:before="158"/>
        <w:ind w:left="568" w:right="0" w:firstLine="0"/>
        <w:jc w:val="both"/>
        <w:rPr>
          <w:sz w:val="24"/>
        </w:rPr>
      </w:pPr>
      <w:r>
        <w:rPr>
          <w:b/>
          <w:sz w:val="24"/>
        </w:rPr>
        <w:t>Kata</w:t>
      </w:r>
      <w:r>
        <w:rPr>
          <w:b/>
          <w:spacing w:val="-2"/>
          <w:sz w:val="24"/>
        </w:rPr>
        <w:t> </w:t>
      </w:r>
      <w:r>
        <w:rPr>
          <w:b/>
          <w:sz w:val="24"/>
        </w:rPr>
        <w:t>Kunci</w:t>
      </w:r>
      <w:r>
        <w:rPr>
          <w:b/>
          <w:spacing w:val="-3"/>
          <w:sz w:val="24"/>
        </w:rPr>
        <w:t> </w:t>
      </w:r>
      <w:r>
        <w:rPr>
          <w:b/>
          <w:sz w:val="24"/>
        </w:rPr>
        <w:t>:</w:t>
      </w:r>
      <w:r>
        <w:rPr>
          <w:b/>
          <w:spacing w:val="-2"/>
          <w:sz w:val="24"/>
        </w:rPr>
        <w:t> </w:t>
      </w:r>
      <w:r>
        <w:rPr>
          <w:sz w:val="24"/>
        </w:rPr>
        <w:t>Jembatan,</w:t>
      </w:r>
      <w:r>
        <w:rPr>
          <w:spacing w:val="-1"/>
          <w:sz w:val="24"/>
        </w:rPr>
        <w:t> </w:t>
      </w:r>
      <w:r>
        <w:rPr>
          <w:sz w:val="24"/>
        </w:rPr>
        <w:t>Prategag,</w:t>
      </w:r>
      <w:r>
        <w:rPr>
          <w:spacing w:val="-1"/>
          <w:sz w:val="24"/>
        </w:rPr>
        <w:t> </w:t>
      </w:r>
      <w:r>
        <w:rPr>
          <w:sz w:val="24"/>
        </w:rPr>
        <w:t>PCI</w:t>
      </w:r>
      <w:r>
        <w:rPr>
          <w:spacing w:val="-5"/>
          <w:sz w:val="24"/>
        </w:rPr>
        <w:t> </w:t>
      </w:r>
      <w:r>
        <w:rPr>
          <w:spacing w:val="-2"/>
          <w:sz w:val="24"/>
        </w:rPr>
        <w:t>girder</w:t>
      </w:r>
    </w:p>
    <w:p>
      <w:pPr>
        <w:spacing w:after="0"/>
        <w:jc w:val="both"/>
        <w:rPr>
          <w:sz w:val="24"/>
        </w:rPr>
        <w:sectPr>
          <w:footerReference w:type="default" r:id="rId5"/>
          <w:type w:val="continuous"/>
          <w:pgSz w:w="11920" w:h="16850"/>
          <w:pgMar w:header="0" w:footer="1343" w:top="1940" w:bottom="1540" w:left="1700" w:right="1559"/>
          <w:pgNumType w:start="4"/>
        </w:sectPr>
      </w:pPr>
    </w:p>
    <w:p>
      <w:pPr>
        <w:pStyle w:val="BodyText"/>
        <w:ind w:left="0"/>
      </w:pPr>
    </w:p>
    <w:p>
      <w:pPr>
        <w:pStyle w:val="Heading1"/>
        <w:ind w:right="5"/>
      </w:pPr>
      <w:r>
        <w:rPr>
          <w:spacing w:val="-2"/>
        </w:rPr>
        <w:t>ABSTRACT</w:t>
      </w:r>
    </w:p>
    <w:p>
      <w:pPr>
        <w:pStyle w:val="BodyText"/>
        <w:spacing w:line="360" w:lineRule="auto" w:before="139"/>
        <w:ind w:right="135" w:firstLine="679"/>
        <w:jc w:val="both"/>
      </w:pPr>
      <w:r>
        <w:rPr/>
        <w:t>The Air Gaung Kecil Bridge is located along the Kepahiang–Pagar Alam highway, a primary transportation route that connects Bengkulu Province with South</w:t>
      </w:r>
      <w:r>
        <w:rPr>
          <w:spacing w:val="-13"/>
        </w:rPr>
        <w:t> </w:t>
      </w:r>
      <w:r>
        <w:rPr/>
        <w:t>Sumatra</w:t>
      </w:r>
      <w:r>
        <w:rPr>
          <w:spacing w:val="-14"/>
        </w:rPr>
        <w:t> </w:t>
      </w:r>
      <w:r>
        <w:rPr/>
        <w:t>Province,</w:t>
      </w:r>
      <w:r>
        <w:rPr>
          <w:spacing w:val="-11"/>
        </w:rPr>
        <w:t> </w:t>
      </w:r>
      <w:r>
        <w:rPr/>
        <w:t>specifically</w:t>
      </w:r>
      <w:r>
        <w:rPr>
          <w:spacing w:val="-13"/>
        </w:rPr>
        <w:t> </w:t>
      </w:r>
      <w:r>
        <w:rPr/>
        <w:t>between</w:t>
      </w:r>
      <w:r>
        <w:rPr>
          <w:spacing w:val="-11"/>
        </w:rPr>
        <w:t> </w:t>
      </w:r>
      <w:r>
        <w:rPr/>
        <w:t>Kepahiang</w:t>
      </w:r>
      <w:r>
        <w:rPr>
          <w:spacing w:val="-14"/>
        </w:rPr>
        <w:t> </w:t>
      </w:r>
      <w:r>
        <w:rPr/>
        <w:t>Regency</w:t>
      </w:r>
      <w:r>
        <w:rPr>
          <w:spacing w:val="-10"/>
        </w:rPr>
        <w:t> </w:t>
      </w:r>
      <w:r>
        <w:rPr/>
        <w:t>and</w:t>
      </w:r>
      <w:r>
        <w:rPr>
          <w:spacing w:val="-14"/>
        </w:rPr>
        <w:t> </w:t>
      </w:r>
      <w:r>
        <w:rPr/>
        <w:t>Pagar</w:t>
      </w:r>
      <w:r>
        <w:rPr>
          <w:spacing w:val="-14"/>
        </w:rPr>
        <w:t> </w:t>
      </w:r>
      <w:r>
        <w:rPr/>
        <w:t>Alam City. This bridge features a clear span of 30.6 meters and is designed using pre- tensioned</w:t>
      </w:r>
      <w:r>
        <w:rPr>
          <w:spacing w:val="-7"/>
        </w:rPr>
        <w:t> </w:t>
      </w:r>
      <w:r>
        <w:rPr/>
        <w:t>concrete</w:t>
      </w:r>
      <w:r>
        <w:rPr>
          <w:spacing w:val="-7"/>
        </w:rPr>
        <w:t> </w:t>
      </w:r>
      <w:r>
        <w:rPr/>
        <w:t>girders</w:t>
      </w:r>
      <w:r>
        <w:rPr>
          <w:spacing w:val="-7"/>
        </w:rPr>
        <w:t> </w:t>
      </w:r>
      <w:r>
        <w:rPr/>
        <w:t>with</w:t>
      </w:r>
      <w:r>
        <w:rPr>
          <w:spacing w:val="-7"/>
        </w:rPr>
        <w:t> </w:t>
      </w:r>
      <w:r>
        <w:rPr/>
        <w:t>an</w:t>
      </w:r>
      <w:r>
        <w:rPr>
          <w:spacing w:val="-6"/>
        </w:rPr>
        <w:t> </w:t>
      </w:r>
      <w:r>
        <w:rPr/>
        <w:t>I-shaped</w:t>
      </w:r>
      <w:r>
        <w:rPr>
          <w:spacing w:val="-7"/>
        </w:rPr>
        <w:t> </w:t>
      </w:r>
      <w:r>
        <w:rPr/>
        <w:t>cross-section</w:t>
      </w:r>
      <w:r>
        <w:rPr>
          <w:spacing w:val="-7"/>
        </w:rPr>
        <w:t> </w:t>
      </w:r>
      <w:r>
        <w:rPr/>
        <w:t>(PCI</w:t>
      </w:r>
      <w:r>
        <w:rPr>
          <w:spacing w:val="-10"/>
        </w:rPr>
        <w:t> </w:t>
      </w:r>
      <w:r>
        <w:rPr/>
        <w:t>Girders).</w:t>
      </w:r>
      <w:r>
        <w:rPr>
          <w:spacing w:val="-7"/>
        </w:rPr>
        <w:t> </w:t>
      </w:r>
      <w:r>
        <w:rPr/>
        <w:t>The</w:t>
      </w:r>
      <w:r>
        <w:rPr>
          <w:spacing w:val="-8"/>
        </w:rPr>
        <w:t> </w:t>
      </w:r>
      <w:r>
        <w:rPr/>
        <w:t>use</w:t>
      </w:r>
      <w:r>
        <w:rPr>
          <w:spacing w:val="-8"/>
        </w:rPr>
        <w:t> </w:t>
      </w:r>
      <w:r>
        <w:rPr/>
        <w:t>of PCI Girders is considered efficient for medium spans and offers practical advantages in construction methodology.</w:t>
      </w:r>
    </w:p>
    <w:p>
      <w:pPr>
        <w:pStyle w:val="BodyText"/>
        <w:spacing w:line="360" w:lineRule="auto" w:before="161"/>
        <w:ind w:right="133" w:firstLine="679"/>
        <w:jc w:val="both"/>
      </w:pPr>
      <w:r>
        <w:rPr/>
        <w:t>The superstructure of the Air Gaung Kecil Bridge consists of five pre- tensioned I-girders, each equipped with four tendons and a total of 68 PC strands. The girders are divided into five segments. The deck slab is designed with a thickness</w:t>
      </w:r>
      <w:r>
        <w:rPr>
          <w:spacing w:val="-2"/>
        </w:rPr>
        <w:t> </w:t>
      </w:r>
      <w:r>
        <w:rPr/>
        <w:t>of</w:t>
      </w:r>
      <w:r>
        <w:rPr>
          <w:spacing w:val="-3"/>
        </w:rPr>
        <w:t> </w:t>
      </w:r>
      <w:r>
        <w:rPr/>
        <w:t>20</w:t>
      </w:r>
      <w:r>
        <w:rPr>
          <w:spacing w:val="-2"/>
        </w:rPr>
        <w:t> </w:t>
      </w:r>
      <w:r>
        <w:rPr/>
        <w:t>cm</w:t>
      </w:r>
      <w:r>
        <w:rPr>
          <w:spacing w:val="-2"/>
        </w:rPr>
        <w:t> </w:t>
      </w:r>
      <w:r>
        <w:rPr/>
        <w:t>using concrete</w:t>
      </w:r>
      <w:r>
        <w:rPr>
          <w:spacing w:val="-3"/>
        </w:rPr>
        <w:t> </w:t>
      </w:r>
      <w:r>
        <w:rPr/>
        <w:t>with</w:t>
      </w:r>
      <w:r>
        <w:rPr>
          <w:spacing w:val="-2"/>
        </w:rPr>
        <w:t> </w:t>
      </w:r>
      <w:r>
        <w:rPr/>
        <w:t>a</w:t>
      </w:r>
      <w:r>
        <w:rPr>
          <w:spacing w:val="-3"/>
        </w:rPr>
        <w:t> </w:t>
      </w:r>
      <w:r>
        <w:rPr/>
        <w:t>specified compressive</w:t>
      </w:r>
      <w:r>
        <w:rPr>
          <w:spacing w:val="-2"/>
        </w:rPr>
        <w:t> </w:t>
      </w:r>
      <w:r>
        <w:rPr/>
        <w:t>strength</w:t>
      </w:r>
      <w:r>
        <w:rPr>
          <w:spacing w:val="-1"/>
        </w:rPr>
        <w:t> </w:t>
      </w:r>
      <w:r>
        <w:rPr/>
        <w:t>(fc')</w:t>
      </w:r>
      <w:r>
        <w:rPr>
          <w:spacing w:val="-3"/>
        </w:rPr>
        <w:t> </w:t>
      </w:r>
      <w:r>
        <w:rPr/>
        <w:t>of</w:t>
      </w:r>
      <w:r>
        <w:rPr>
          <w:spacing w:val="-3"/>
        </w:rPr>
        <w:t> </w:t>
      </w:r>
      <w:r>
        <w:rPr/>
        <w:t>30 MPa. The substructure comprises two abutments at each end of the bridge, supported by well foundations with a depth of five meters and a diameter of three meters.</w:t>
      </w:r>
      <w:r>
        <w:rPr>
          <w:spacing w:val="-1"/>
        </w:rPr>
        <w:t> </w:t>
      </w:r>
      <w:r>
        <w:rPr/>
        <w:t>Additionally,</w:t>
      </w:r>
      <w:r>
        <w:rPr>
          <w:spacing w:val="-1"/>
        </w:rPr>
        <w:t> </w:t>
      </w:r>
      <w:r>
        <w:rPr/>
        <w:t>the</w:t>
      </w:r>
      <w:r>
        <w:rPr>
          <w:spacing w:val="-2"/>
        </w:rPr>
        <w:t> </w:t>
      </w:r>
      <w:r>
        <w:rPr/>
        <w:t>bridge</w:t>
      </w:r>
      <w:r>
        <w:rPr>
          <w:spacing w:val="-4"/>
        </w:rPr>
        <w:t> </w:t>
      </w:r>
      <w:r>
        <w:rPr/>
        <w:t>includes</w:t>
      </w:r>
      <w:r>
        <w:rPr>
          <w:spacing w:val="-1"/>
        </w:rPr>
        <w:t> </w:t>
      </w:r>
      <w:r>
        <w:rPr/>
        <w:t>auxiliary structures such</w:t>
      </w:r>
      <w:r>
        <w:rPr>
          <w:spacing w:val="-1"/>
        </w:rPr>
        <w:t> </w:t>
      </w:r>
      <w:r>
        <w:rPr/>
        <w:t>as</w:t>
      </w:r>
      <w:r>
        <w:rPr>
          <w:spacing w:val="-1"/>
        </w:rPr>
        <w:t> </w:t>
      </w:r>
      <w:r>
        <w:rPr/>
        <w:t>wing walls</w:t>
      </w:r>
      <w:r>
        <w:rPr>
          <w:spacing w:val="-1"/>
        </w:rPr>
        <w:t> </w:t>
      </w:r>
      <w:r>
        <w:rPr/>
        <w:t>at the</w:t>
      </w:r>
      <w:r>
        <w:rPr>
          <w:spacing w:val="-1"/>
        </w:rPr>
        <w:t> </w:t>
      </w:r>
      <w:r>
        <w:rPr/>
        <w:t>abutments,</w:t>
      </w:r>
      <w:r>
        <w:rPr>
          <w:spacing w:val="-1"/>
        </w:rPr>
        <w:t> </w:t>
      </w:r>
      <w:r>
        <w:rPr/>
        <w:t>excavation and</w:t>
      </w:r>
      <w:r>
        <w:rPr>
          <w:spacing w:val="-1"/>
        </w:rPr>
        <w:t> </w:t>
      </w:r>
      <w:r>
        <w:rPr/>
        <w:t>embankment works</w:t>
      </w:r>
      <w:r>
        <w:rPr>
          <w:spacing w:val="-1"/>
        </w:rPr>
        <w:t> </w:t>
      </w:r>
      <w:r>
        <w:rPr/>
        <w:t>for</w:t>
      </w:r>
      <w:r>
        <w:rPr>
          <w:spacing w:val="-3"/>
        </w:rPr>
        <w:t> </w:t>
      </w:r>
      <w:r>
        <w:rPr/>
        <w:t>the</w:t>
      </w:r>
      <w:r>
        <w:rPr>
          <w:spacing w:val="-1"/>
        </w:rPr>
        <w:t> </w:t>
      </w:r>
      <w:r>
        <w:rPr/>
        <w:t>approach roads, flexible pavement on the approaches, and an asphalt overlay of 5 cm on the bridge deck. The total estimated construction cost is IDR 6,811,875,000.00, with a planned implementation period of 282 calendar days.</w:t>
      </w:r>
    </w:p>
    <w:p>
      <w:pPr>
        <w:spacing w:before="158"/>
        <w:ind w:left="568" w:right="0" w:firstLine="0"/>
        <w:jc w:val="both"/>
        <w:rPr>
          <w:i/>
          <w:sz w:val="24"/>
        </w:rPr>
      </w:pPr>
      <w:r>
        <w:rPr>
          <w:b/>
          <w:i/>
          <w:sz w:val="24"/>
        </w:rPr>
        <w:t>Keywords</w:t>
      </w:r>
      <w:r>
        <w:rPr>
          <w:b/>
          <w:i/>
          <w:spacing w:val="-3"/>
          <w:sz w:val="24"/>
        </w:rPr>
        <w:t> </w:t>
      </w:r>
      <w:r>
        <w:rPr>
          <w:b/>
          <w:i/>
          <w:sz w:val="24"/>
        </w:rPr>
        <w:t>:</w:t>
      </w:r>
      <w:r>
        <w:rPr>
          <w:b/>
          <w:i/>
          <w:spacing w:val="-2"/>
          <w:sz w:val="24"/>
        </w:rPr>
        <w:t> </w:t>
      </w:r>
      <w:r>
        <w:rPr>
          <w:i/>
          <w:sz w:val="24"/>
        </w:rPr>
        <w:t>Bridges,</w:t>
      </w:r>
      <w:r>
        <w:rPr>
          <w:i/>
          <w:spacing w:val="-2"/>
          <w:sz w:val="24"/>
        </w:rPr>
        <w:t> </w:t>
      </w:r>
      <w:r>
        <w:rPr>
          <w:i/>
          <w:sz w:val="24"/>
        </w:rPr>
        <w:t>Prestressed,</w:t>
      </w:r>
      <w:r>
        <w:rPr>
          <w:i/>
          <w:spacing w:val="-2"/>
          <w:sz w:val="24"/>
        </w:rPr>
        <w:t> </w:t>
      </w:r>
      <w:r>
        <w:rPr>
          <w:i/>
          <w:sz w:val="24"/>
        </w:rPr>
        <w:t>PCI </w:t>
      </w:r>
      <w:r>
        <w:rPr>
          <w:i/>
          <w:spacing w:val="-2"/>
          <w:sz w:val="24"/>
        </w:rPr>
        <w:t>girder</w:t>
      </w:r>
    </w:p>
    <w:sectPr>
      <w:pgSz w:w="11920" w:h="16850"/>
      <w:pgMar w:header="0" w:footer="1343" w:top="1940" w:bottom="154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65312">
              <wp:simplePos x="0" y="0"/>
              <wp:positionH relativeFrom="page">
                <wp:posOffset>3867277</wp:posOffset>
              </wp:positionH>
              <wp:positionV relativeFrom="page">
                <wp:posOffset>9701106</wp:posOffset>
              </wp:positionV>
              <wp:extent cx="20256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2565" cy="194310"/>
                      </a:xfrm>
                      <a:prstGeom prst="rect">
                        <a:avLst/>
                      </a:prstGeom>
                    </wps:spPr>
                    <wps:txbx>
                      <w:txbxContent>
                        <w:p>
                          <w:pPr>
                            <w:pStyle w:val="BodyText"/>
                            <w:spacing w:before="10"/>
                            <w:ind w:left="60"/>
                          </w:pPr>
                          <w:r>
                            <w:rPr>
                              <w:spacing w:val="-5"/>
                            </w:rPr>
                            <w:fldChar w:fldCharType="begin"/>
                          </w:r>
                          <w:r>
                            <w:rPr>
                              <w:spacing w:val="-5"/>
                            </w:rPr>
                            <w:instrText> PAGE  \* roman </w:instrText>
                          </w:r>
                          <w:r>
                            <w:rPr>
                              <w:spacing w:val="-5"/>
                            </w:rPr>
                            <w:fldChar w:fldCharType="separate"/>
                          </w:r>
                          <w:r>
                            <w:rPr>
                              <w:spacing w:val="-5"/>
                            </w:rPr>
                            <w:t>iv</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4.510010pt;margin-top:763.866638pt;width:15.95pt;height:15.3pt;mso-position-horizontal-relative:page;mso-position-vertical-relative:page;z-index:-15751168" type="#_x0000_t202" id="docshape1" filled="false" stroked="false">
              <v:textbox inset="0,0,0,0">
                <w:txbxContent>
                  <w:p>
                    <w:pPr>
                      <w:pStyle w:val="BodyText"/>
                      <w:spacing w:before="10"/>
                      <w:ind w:left="60"/>
                    </w:pPr>
                    <w:r>
                      <w:rPr>
                        <w:spacing w:val="-5"/>
                      </w:rPr>
                      <w:fldChar w:fldCharType="begin"/>
                    </w:r>
                    <w:r>
                      <w:rPr>
                        <w:spacing w:val="-5"/>
                      </w:rPr>
                      <w:instrText> PAGE  \* roman </w:instrText>
                    </w:r>
                    <w:r>
                      <w:rPr>
                        <w:spacing w:val="-5"/>
                      </w:rPr>
                      <w:fldChar w:fldCharType="separate"/>
                    </w:r>
                    <w:r>
                      <w:rPr>
                        <w:spacing w:val="-5"/>
                      </w:rPr>
                      <w:t>iv</w:t>
                    </w:r>
                    <w:r>
                      <w:rPr>
                        <w:spacing w:val="-5"/>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spacing w:before="113"/>
      <w:ind w:left="568"/>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429"/>
      <w:jc w:val="center"/>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dcterms:created xsi:type="dcterms:W3CDTF">2025-09-02T09:01:50Z</dcterms:created>
  <dcterms:modified xsi:type="dcterms:W3CDTF">2025-09-02T09:01:50Z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Microsoft® Word 2019</vt:lpwstr>
  </property>
  <property fmtid="{D5CDD505-2E9C-101B-9397-08002B2CF9AE}" pid="4" name="LastSaved">
    <vt:filetime>2025-09-02T00:00:00Z</vt:filetime>
  </property>
  <property fmtid="{D5CDD505-2E9C-101B-9397-08002B2CF9AE}" pid="5" name="Producer">
    <vt:lpwstr>4-Heights™ PDF Library 3.4.0.6904 (http://www.pdf-tools.com)</vt:lpwstr>
  </property>
</Properties>
</file>