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36"/>
      </w:pPr>
    </w:p>
    <w:p>
      <w:pPr>
        <w:spacing w:before="1"/>
        <w:ind w:left="568" w:right="133" w:firstLine="0"/>
        <w:jc w:val="both"/>
        <w:rPr>
          <w:b/>
          <w:i/>
          <w:sz w:val="24"/>
        </w:rPr>
      </w:pPr>
      <w:r>
        <w:rPr>
          <w:b/>
          <w:i/>
          <w:sz w:val="24"/>
        </w:rPr>
        <w:t>The</w:t>
      </w:r>
      <w:r>
        <w:rPr>
          <w:b/>
          <w:i/>
          <w:spacing w:val="-11"/>
          <w:sz w:val="24"/>
        </w:rPr>
        <w:t> </w:t>
      </w:r>
      <w:r>
        <w:rPr>
          <w:b/>
          <w:i/>
          <w:sz w:val="24"/>
        </w:rPr>
        <w:t>Influence</w:t>
      </w:r>
      <w:r>
        <w:rPr>
          <w:b/>
          <w:i/>
          <w:spacing w:val="-11"/>
          <w:sz w:val="24"/>
        </w:rPr>
        <w:t> </w:t>
      </w:r>
      <w:r>
        <w:rPr>
          <w:b/>
          <w:i/>
          <w:sz w:val="24"/>
        </w:rPr>
        <w:t>of</w:t>
      </w:r>
      <w:r>
        <w:rPr>
          <w:b/>
          <w:i/>
          <w:spacing w:val="-9"/>
          <w:sz w:val="24"/>
        </w:rPr>
        <w:t> </w:t>
      </w:r>
      <w:r>
        <w:rPr>
          <w:b/>
          <w:i/>
          <w:sz w:val="24"/>
        </w:rPr>
        <w:t>Fiscal</w:t>
      </w:r>
      <w:r>
        <w:rPr>
          <w:b/>
          <w:i/>
          <w:spacing w:val="-8"/>
          <w:sz w:val="24"/>
        </w:rPr>
        <w:t> </w:t>
      </w:r>
      <w:r>
        <w:rPr>
          <w:b/>
          <w:i/>
          <w:sz w:val="24"/>
        </w:rPr>
        <w:t>Autonomy,</w:t>
      </w:r>
      <w:r>
        <w:rPr>
          <w:b/>
          <w:i/>
          <w:spacing w:val="-10"/>
          <w:sz w:val="24"/>
        </w:rPr>
        <w:t> </w:t>
      </w:r>
      <w:r>
        <w:rPr>
          <w:b/>
          <w:i/>
          <w:sz w:val="24"/>
        </w:rPr>
        <w:t>General</w:t>
      </w:r>
      <w:r>
        <w:rPr>
          <w:b/>
          <w:i/>
          <w:spacing w:val="-10"/>
          <w:sz w:val="24"/>
        </w:rPr>
        <w:t> </w:t>
      </w:r>
      <w:r>
        <w:rPr>
          <w:b/>
          <w:i/>
          <w:sz w:val="24"/>
        </w:rPr>
        <w:t>Allocation</w:t>
      </w:r>
      <w:r>
        <w:rPr>
          <w:b/>
          <w:i/>
          <w:spacing w:val="-10"/>
          <w:sz w:val="24"/>
        </w:rPr>
        <w:t> </w:t>
      </w:r>
      <w:r>
        <w:rPr>
          <w:b/>
          <w:i/>
          <w:sz w:val="24"/>
        </w:rPr>
        <w:t>Funds,</w:t>
      </w:r>
      <w:r>
        <w:rPr>
          <w:b/>
          <w:i/>
          <w:spacing w:val="-10"/>
          <w:sz w:val="24"/>
        </w:rPr>
        <w:t> </w:t>
      </w:r>
      <w:r>
        <w:rPr>
          <w:b/>
          <w:i/>
          <w:sz w:val="24"/>
        </w:rPr>
        <w:t>and</w:t>
      </w:r>
      <w:r>
        <w:rPr>
          <w:b/>
          <w:i/>
          <w:spacing w:val="-10"/>
          <w:sz w:val="24"/>
        </w:rPr>
        <w:t> </w:t>
      </w:r>
      <w:r>
        <w:rPr>
          <w:b/>
          <w:i/>
          <w:sz w:val="24"/>
        </w:rPr>
        <w:t>Accumulated Surplus on the Social Assistance Expenditure Budget in Municipal Goverments on the Island of Sumatera</w:t>
      </w:r>
    </w:p>
    <w:p>
      <w:pPr>
        <w:spacing w:before="0"/>
        <w:ind w:left="568" w:right="2786" w:firstLine="0"/>
        <w:jc w:val="both"/>
        <w:rPr>
          <w:i/>
          <w:sz w:val="24"/>
        </w:rPr>
      </w:pPr>
      <w:r>
        <w:rPr>
          <w:i/>
          <w:sz w:val="24"/>
        </w:rPr>
        <w:t>State</w:t>
      </w:r>
      <w:r>
        <w:rPr>
          <w:i/>
          <w:spacing w:val="-8"/>
          <w:sz w:val="24"/>
        </w:rPr>
        <w:t> </w:t>
      </w:r>
      <w:r>
        <w:rPr>
          <w:i/>
          <w:sz w:val="24"/>
        </w:rPr>
        <w:t>Polytechnic</w:t>
      </w:r>
      <w:r>
        <w:rPr>
          <w:i/>
          <w:spacing w:val="-7"/>
          <w:sz w:val="24"/>
        </w:rPr>
        <w:t> </w:t>
      </w:r>
      <w:r>
        <w:rPr>
          <w:i/>
          <w:sz w:val="24"/>
        </w:rPr>
        <w:t>of</w:t>
      </w:r>
      <w:r>
        <w:rPr>
          <w:i/>
          <w:spacing w:val="-7"/>
          <w:sz w:val="24"/>
        </w:rPr>
        <w:t> </w:t>
      </w:r>
      <w:r>
        <w:rPr>
          <w:i/>
          <w:sz w:val="24"/>
        </w:rPr>
        <w:t>sriwijaya,</w:t>
      </w:r>
      <w:r>
        <w:rPr>
          <w:i/>
          <w:spacing w:val="-7"/>
          <w:sz w:val="24"/>
        </w:rPr>
        <w:t> </w:t>
      </w:r>
      <w:r>
        <w:rPr>
          <w:i/>
          <w:sz w:val="24"/>
        </w:rPr>
        <w:t>Accounting</w:t>
      </w:r>
      <w:r>
        <w:rPr>
          <w:i/>
          <w:spacing w:val="-7"/>
          <w:sz w:val="24"/>
        </w:rPr>
        <w:t> </w:t>
      </w:r>
      <w:r>
        <w:rPr>
          <w:i/>
          <w:sz w:val="24"/>
        </w:rPr>
        <w:t>Department Charlie Viowika Wijaya, 2025 (xvi + 57 Pages)</w:t>
      </w:r>
    </w:p>
    <w:p>
      <w:pPr>
        <w:spacing w:before="0"/>
        <w:ind w:left="568" w:right="0" w:firstLine="0"/>
        <w:jc w:val="both"/>
        <w:rPr>
          <w:i/>
          <w:sz w:val="24"/>
        </w:rPr>
      </w:pPr>
      <w:r>
        <w:rPr>
          <w:i/>
          <w:sz w:val="24"/>
        </w:rPr>
        <w:t>Email:</w:t>
      </w:r>
      <w:r>
        <w:rPr>
          <w:i/>
          <w:spacing w:val="-3"/>
          <w:sz w:val="24"/>
        </w:rPr>
        <w:t> </w:t>
      </w:r>
      <w:hyperlink r:id="rId7">
        <w:r>
          <w:rPr>
            <w:i/>
            <w:color w:val="0462C1"/>
            <w:spacing w:val="-2"/>
            <w:sz w:val="24"/>
            <w:u w:val="single" w:color="0462C1"/>
          </w:rPr>
          <w:t>viowikacharlie@gmail.com</w:t>
        </w:r>
      </w:hyperlink>
    </w:p>
    <w:p>
      <w:pPr>
        <w:pStyle w:val="BodyText"/>
        <w:spacing w:before="2"/>
        <w:rPr>
          <w:i/>
          <w:sz w:val="7"/>
        </w:rPr>
      </w:pPr>
      <w:r>
        <w:rPr>
          <w:i/>
          <w:sz w:val="7"/>
        </w:rPr>
        <mc:AlternateContent>
          <mc:Choice Requires="wps">
            <w:drawing>
              <wp:anchor distT="0" distB="0" distL="0" distR="0" allowOverlap="1" layoutInCell="1" locked="0" behindDoc="1" simplePos="0" relativeHeight="487587840">
                <wp:simplePos x="0" y="0"/>
                <wp:positionH relativeFrom="page">
                  <wp:posOffset>1440180</wp:posOffset>
                </wp:positionH>
                <wp:positionV relativeFrom="paragraph">
                  <wp:posOffset>68548</wp:posOffset>
                </wp:positionV>
                <wp:extent cx="5029200" cy="74295"/>
                <wp:effectExtent l="0" t="0" r="0" b="0"/>
                <wp:wrapTopAndBottom/>
                <wp:docPr id="3" name="Group 3"/>
                <wp:cNvGraphicFramePr>
                  <a:graphicFrameLocks/>
                </wp:cNvGraphicFramePr>
                <a:graphic>
                  <a:graphicData uri="http://schemas.microsoft.com/office/word/2010/wordprocessingGroup">
                    <wpg:wgp>
                      <wpg:cNvPr id="3" name="Group 3"/>
                      <wpg:cNvGrpSpPr/>
                      <wpg:grpSpPr>
                        <a:xfrm>
                          <a:off x="0" y="0"/>
                          <a:ext cx="5029200" cy="74295"/>
                          <a:chExt cx="5029200" cy="74295"/>
                        </a:xfrm>
                      </wpg:grpSpPr>
                      <wps:wsp>
                        <wps:cNvPr id="4" name="Graphic 4"/>
                        <wps:cNvSpPr/>
                        <wps:spPr>
                          <a:xfrm>
                            <a:off x="0" y="14287"/>
                            <a:ext cx="5029200" cy="1270"/>
                          </a:xfrm>
                          <a:custGeom>
                            <a:avLst/>
                            <a:gdLst/>
                            <a:ahLst/>
                            <a:cxnLst/>
                            <a:rect l="l" t="t" r="r" b="b"/>
                            <a:pathLst>
                              <a:path w="5029200" h="0">
                                <a:moveTo>
                                  <a:pt x="0" y="0"/>
                                </a:moveTo>
                                <a:lnTo>
                                  <a:pt x="5029200" y="0"/>
                                </a:lnTo>
                              </a:path>
                            </a:pathLst>
                          </a:custGeom>
                          <a:ln w="28575">
                            <a:solidFill>
                              <a:srgbClr val="000000"/>
                            </a:solidFill>
                            <a:prstDash val="solid"/>
                          </a:ln>
                        </wps:spPr>
                        <wps:bodyPr wrap="square" lIns="0" tIns="0" rIns="0" bIns="0" rtlCol="0">
                          <a:prstTxWarp prst="textNoShape">
                            <a:avLst/>
                          </a:prstTxWarp>
                          <a:noAutofit/>
                        </wps:bodyPr>
                      </wps:wsp>
                      <wps:wsp>
                        <wps:cNvPr id="5" name="Graphic 5"/>
                        <wps:cNvSpPr/>
                        <wps:spPr>
                          <a:xfrm>
                            <a:off x="0" y="70802"/>
                            <a:ext cx="5029200" cy="1270"/>
                          </a:xfrm>
                          <a:custGeom>
                            <a:avLst/>
                            <a:gdLst/>
                            <a:ahLst/>
                            <a:cxnLst/>
                            <a:rect l="l" t="t" r="r" b="b"/>
                            <a:pathLst>
                              <a:path w="5029200" h="0">
                                <a:moveTo>
                                  <a:pt x="0" y="0"/>
                                </a:moveTo>
                                <a:lnTo>
                                  <a:pt x="502920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3.400002pt;margin-top:5.3975pt;width:396pt;height:5.85pt;mso-position-horizontal-relative:page;mso-position-vertical-relative:paragraph;z-index:-15728640;mso-wrap-distance-left:0;mso-wrap-distance-right:0" id="docshapegroup3" coordorigin="2268,108" coordsize="7920,117">
                <v:line style="position:absolute" from="2268,130" to="10188,130" stroked="true" strokeweight="2.25pt" strokecolor="#000000">
                  <v:stroke dashstyle="solid"/>
                </v:line>
                <v:line style="position:absolute" from="2268,219" to="10188,219" stroked="true" strokeweight=".5pt" strokecolor="#000000">
                  <v:stroke dashstyle="solid"/>
                </v:line>
                <w10:wrap type="topAndBottom"/>
              </v:group>
            </w:pict>
          </mc:Fallback>
        </mc:AlternateContent>
      </w:r>
    </w:p>
    <w:p>
      <w:pPr>
        <w:spacing w:before="191"/>
        <w:ind w:left="568" w:right="135" w:firstLine="0"/>
        <w:jc w:val="both"/>
        <w:rPr>
          <w:i/>
          <w:sz w:val="24"/>
        </w:rPr>
      </w:pPr>
      <w:r>
        <w:rPr>
          <w:i/>
          <w:sz w:val="24"/>
        </w:rPr>
        <w:t>This study aims to analyze the effect of fiscal autonomy, general allocation fund (DAU), and accumulated surplus on social assistance expenditure in city governments across Sumatra Island for the 2019–2023 period. A quantitative approach</w:t>
      </w:r>
      <w:r>
        <w:rPr>
          <w:i/>
          <w:spacing w:val="-14"/>
          <w:sz w:val="24"/>
        </w:rPr>
        <w:t> </w:t>
      </w:r>
      <w:r>
        <w:rPr>
          <w:i/>
          <w:sz w:val="24"/>
        </w:rPr>
        <w:t>was</w:t>
      </w:r>
      <w:r>
        <w:rPr>
          <w:i/>
          <w:spacing w:val="-14"/>
          <w:sz w:val="24"/>
        </w:rPr>
        <w:t> </w:t>
      </w:r>
      <w:r>
        <w:rPr>
          <w:i/>
          <w:sz w:val="24"/>
        </w:rPr>
        <w:t>employed,</w:t>
      </w:r>
      <w:r>
        <w:rPr>
          <w:i/>
          <w:spacing w:val="-14"/>
          <w:sz w:val="24"/>
        </w:rPr>
        <w:t> </w:t>
      </w:r>
      <w:r>
        <w:rPr>
          <w:i/>
          <w:sz w:val="24"/>
        </w:rPr>
        <w:t>using</w:t>
      </w:r>
      <w:r>
        <w:rPr>
          <w:i/>
          <w:spacing w:val="-14"/>
          <w:sz w:val="24"/>
        </w:rPr>
        <w:t> </w:t>
      </w:r>
      <w:r>
        <w:rPr>
          <w:i/>
          <w:sz w:val="24"/>
        </w:rPr>
        <w:t>secondary</w:t>
      </w:r>
      <w:r>
        <w:rPr>
          <w:i/>
          <w:spacing w:val="-15"/>
          <w:sz w:val="24"/>
        </w:rPr>
        <w:t> </w:t>
      </w:r>
      <w:r>
        <w:rPr>
          <w:i/>
          <w:sz w:val="24"/>
        </w:rPr>
        <w:t>data</w:t>
      </w:r>
      <w:r>
        <w:rPr>
          <w:i/>
          <w:spacing w:val="-14"/>
          <w:sz w:val="24"/>
        </w:rPr>
        <w:t> </w:t>
      </w:r>
      <w:r>
        <w:rPr>
          <w:i/>
          <w:sz w:val="24"/>
        </w:rPr>
        <w:t>sourced</w:t>
      </w:r>
      <w:r>
        <w:rPr>
          <w:i/>
          <w:spacing w:val="-14"/>
          <w:sz w:val="24"/>
        </w:rPr>
        <w:t> </w:t>
      </w:r>
      <w:r>
        <w:rPr>
          <w:i/>
          <w:sz w:val="24"/>
        </w:rPr>
        <w:t>from</w:t>
      </w:r>
      <w:r>
        <w:rPr>
          <w:i/>
          <w:spacing w:val="-14"/>
          <w:sz w:val="24"/>
        </w:rPr>
        <w:t> </w:t>
      </w:r>
      <w:r>
        <w:rPr>
          <w:i/>
          <w:sz w:val="24"/>
        </w:rPr>
        <w:t>the</w:t>
      </w:r>
      <w:r>
        <w:rPr>
          <w:i/>
          <w:spacing w:val="-15"/>
          <w:sz w:val="24"/>
        </w:rPr>
        <w:t> </w:t>
      </w:r>
      <w:r>
        <w:rPr>
          <w:i/>
          <w:sz w:val="24"/>
        </w:rPr>
        <w:t>Local</w:t>
      </w:r>
      <w:r>
        <w:rPr>
          <w:i/>
          <w:spacing w:val="-14"/>
          <w:sz w:val="24"/>
        </w:rPr>
        <w:t> </w:t>
      </w:r>
      <w:r>
        <w:rPr>
          <w:i/>
          <w:sz w:val="24"/>
        </w:rPr>
        <w:t>Government Budget</w:t>
      </w:r>
      <w:r>
        <w:rPr>
          <w:i/>
          <w:spacing w:val="-9"/>
          <w:sz w:val="24"/>
        </w:rPr>
        <w:t> </w:t>
      </w:r>
      <w:r>
        <w:rPr>
          <w:i/>
          <w:sz w:val="24"/>
        </w:rPr>
        <w:t>Realization</w:t>
      </w:r>
      <w:r>
        <w:rPr>
          <w:i/>
          <w:spacing w:val="-10"/>
          <w:sz w:val="24"/>
        </w:rPr>
        <w:t> </w:t>
      </w:r>
      <w:r>
        <w:rPr>
          <w:i/>
          <w:sz w:val="24"/>
        </w:rPr>
        <w:t>Reports</w:t>
      </w:r>
      <w:r>
        <w:rPr>
          <w:i/>
          <w:spacing w:val="-9"/>
          <w:sz w:val="24"/>
        </w:rPr>
        <w:t> </w:t>
      </w:r>
      <w:r>
        <w:rPr>
          <w:i/>
          <w:sz w:val="24"/>
        </w:rPr>
        <w:t>(LRA)</w:t>
      </w:r>
      <w:r>
        <w:rPr>
          <w:i/>
          <w:spacing w:val="-11"/>
          <w:sz w:val="24"/>
        </w:rPr>
        <w:t> </w:t>
      </w:r>
      <w:r>
        <w:rPr>
          <w:i/>
          <w:sz w:val="24"/>
        </w:rPr>
        <w:t>and</w:t>
      </w:r>
      <w:r>
        <w:rPr>
          <w:i/>
          <w:spacing w:val="-10"/>
          <w:sz w:val="24"/>
        </w:rPr>
        <w:t> </w:t>
      </w:r>
      <w:r>
        <w:rPr>
          <w:i/>
          <w:sz w:val="24"/>
        </w:rPr>
        <w:t>analyzed</w:t>
      </w:r>
      <w:r>
        <w:rPr>
          <w:i/>
          <w:spacing w:val="-10"/>
          <w:sz w:val="24"/>
        </w:rPr>
        <w:t> </w:t>
      </w:r>
      <w:r>
        <w:rPr>
          <w:i/>
          <w:sz w:val="24"/>
        </w:rPr>
        <w:t>through</w:t>
      </w:r>
      <w:r>
        <w:rPr>
          <w:i/>
          <w:spacing w:val="-9"/>
          <w:sz w:val="24"/>
        </w:rPr>
        <w:t> </w:t>
      </w:r>
      <w:r>
        <w:rPr>
          <w:i/>
          <w:sz w:val="24"/>
        </w:rPr>
        <w:t>panel</w:t>
      </w:r>
      <w:r>
        <w:rPr>
          <w:i/>
          <w:spacing w:val="-9"/>
          <w:sz w:val="24"/>
        </w:rPr>
        <w:t> </w:t>
      </w:r>
      <w:r>
        <w:rPr>
          <w:i/>
          <w:sz w:val="24"/>
        </w:rPr>
        <w:t>data</w:t>
      </w:r>
      <w:r>
        <w:rPr>
          <w:i/>
          <w:spacing w:val="-7"/>
          <w:sz w:val="24"/>
        </w:rPr>
        <w:t> </w:t>
      </w:r>
      <w:r>
        <w:rPr>
          <w:i/>
          <w:sz w:val="24"/>
        </w:rPr>
        <w:t>multiple</w:t>
      </w:r>
      <w:r>
        <w:rPr>
          <w:i/>
          <w:spacing w:val="-10"/>
          <w:sz w:val="24"/>
        </w:rPr>
        <w:t> </w:t>
      </w:r>
      <w:r>
        <w:rPr>
          <w:i/>
          <w:sz w:val="24"/>
        </w:rPr>
        <w:t>linear regression using Eviews 12. The results show that partially, fiscal autonomy and accumulated surplus have a significant positive effect on social assistance expenditure, while DAU has no significant effect. Simultaneously, all three independent variables significantly affect social assistance expenditure. These findings</w:t>
      </w:r>
      <w:r>
        <w:rPr>
          <w:i/>
          <w:spacing w:val="-15"/>
          <w:sz w:val="24"/>
        </w:rPr>
        <w:t> </w:t>
      </w:r>
      <w:r>
        <w:rPr>
          <w:i/>
          <w:sz w:val="24"/>
        </w:rPr>
        <w:t>indicate</w:t>
      </w:r>
      <w:r>
        <w:rPr>
          <w:i/>
          <w:spacing w:val="-15"/>
          <w:sz w:val="24"/>
        </w:rPr>
        <w:t> </w:t>
      </w:r>
      <w:r>
        <w:rPr>
          <w:i/>
          <w:sz w:val="24"/>
        </w:rPr>
        <w:t>that</w:t>
      </w:r>
      <w:r>
        <w:rPr>
          <w:i/>
          <w:spacing w:val="-15"/>
          <w:sz w:val="24"/>
        </w:rPr>
        <w:t> </w:t>
      </w:r>
      <w:r>
        <w:rPr>
          <w:i/>
          <w:sz w:val="24"/>
        </w:rPr>
        <w:t>greater</w:t>
      </w:r>
      <w:r>
        <w:rPr>
          <w:i/>
          <w:spacing w:val="-15"/>
          <w:sz w:val="24"/>
        </w:rPr>
        <w:t> </w:t>
      </w:r>
      <w:r>
        <w:rPr>
          <w:i/>
          <w:sz w:val="24"/>
        </w:rPr>
        <w:t>fiscal</w:t>
      </w:r>
      <w:r>
        <w:rPr>
          <w:i/>
          <w:spacing w:val="-15"/>
          <w:sz w:val="24"/>
        </w:rPr>
        <w:t> </w:t>
      </w:r>
      <w:r>
        <w:rPr>
          <w:i/>
          <w:sz w:val="24"/>
        </w:rPr>
        <w:t>independence</w:t>
      </w:r>
      <w:r>
        <w:rPr>
          <w:i/>
          <w:spacing w:val="-15"/>
          <w:sz w:val="24"/>
        </w:rPr>
        <w:t> </w:t>
      </w:r>
      <w:r>
        <w:rPr>
          <w:i/>
          <w:sz w:val="24"/>
        </w:rPr>
        <w:t>and</w:t>
      </w:r>
      <w:r>
        <w:rPr>
          <w:i/>
          <w:spacing w:val="-15"/>
          <w:sz w:val="24"/>
        </w:rPr>
        <w:t> </w:t>
      </w:r>
      <w:r>
        <w:rPr>
          <w:i/>
          <w:sz w:val="24"/>
        </w:rPr>
        <w:t>efficient</w:t>
      </w:r>
      <w:r>
        <w:rPr>
          <w:i/>
          <w:spacing w:val="-15"/>
          <w:sz w:val="24"/>
        </w:rPr>
        <w:t> </w:t>
      </w:r>
      <w:r>
        <w:rPr>
          <w:i/>
          <w:sz w:val="24"/>
        </w:rPr>
        <w:t>surplus</w:t>
      </w:r>
      <w:r>
        <w:rPr>
          <w:i/>
          <w:spacing w:val="-15"/>
          <w:sz w:val="24"/>
        </w:rPr>
        <w:t> </w:t>
      </w:r>
      <w:r>
        <w:rPr>
          <w:i/>
          <w:sz w:val="24"/>
        </w:rPr>
        <w:t>management can promote increased social spending in local governments. The study provides implications for local governments to enhance efficiency and accountability in financial management to support community welfare.</w:t>
      </w:r>
    </w:p>
    <w:p>
      <w:pPr>
        <w:pStyle w:val="BodyText"/>
        <w:spacing w:before="3"/>
        <w:rPr>
          <w:i/>
        </w:rPr>
      </w:pPr>
    </w:p>
    <w:p>
      <w:pPr>
        <w:spacing w:before="0"/>
        <w:ind w:left="568" w:right="44" w:firstLine="0"/>
        <w:jc w:val="left"/>
        <w:rPr>
          <w:i/>
          <w:sz w:val="24"/>
        </w:rPr>
      </w:pPr>
      <w:r>
        <w:rPr>
          <w:b/>
          <w:i/>
          <w:sz w:val="24"/>
        </w:rPr>
        <w:t>Keywords:</w:t>
      </w:r>
      <w:r>
        <w:rPr>
          <w:b/>
          <w:i/>
          <w:spacing w:val="-5"/>
          <w:sz w:val="24"/>
        </w:rPr>
        <w:t> </w:t>
      </w:r>
      <w:r>
        <w:rPr>
          <w:i/>
          <w:sz w:val="24"/>
        </w:rPr>
        <w:t>Fiscal</w:t>
      </w:r>
      <w:r>
        <w:rPr>
          <w:i/>
          <w:spacing w:val="-5"/>
          <w:sz w:val="24"/>
        </w:rPr>
        <w:t> </w:t>
      </w:r>
      <w:r>
        <w:rPr>
          <w:i/>
          <w:sz w:val="24"/>
        </w:rPr>
        <w:t>Autonomy,</w:t>
      </w:r>
      <w:r>
        <w:rPr>
          <w:i/>
          <w:spacing w:val="-5"/>
          <w:sz w:val="24"/>
        </w:rPr>
        <w:t> </w:t>
      </w:r>
      <w:r>
        <w:rPr>
          <w:i/>
          <w:sz w:val="24"/>
        </w:rPr>
        <w:t>General</w:t>
      </w:r>
      <w:r>
        <w:rPr>
          <w:i/>
          <w:spacing w:val="-5"/>
          <w:sz w:val="24"/>
        </w:rPr>
        <w:t> </w:t>
      </w:r>
      <w:r>
        <w:rPr>
          <w:i/>
          <w:sz w:val="24"/>
        </w:rPr>
        <w:t>Allocation</w:t>
      </w:r>
      <w:r>
        <w:rPr>
          <w:i/>
          <w:spacing w:val="-5"/>
          <w:sz w:val="24"/>
        </w:rPr>
        <w:t> </w:t>
      </w:r>
      <w:r>
        <w:rPr>
          <w:i/>
          <w:sz w:val="24"/>
        </w:rPr>
        <w:t>Fund,</w:t>
      </w:r>
      <w:r>
        <w:rPr>
          <w:i/>
          <w:spacing w:val="-4"/>
          <w:sz w:val="24"/>
        </w:rPr>
        <w:t> </w:t>
      </w:r>
      <w:r>
        <w:rPr>
          <w:i/>
          <w:sz w:val="24"/>
        </w:rPr>
        <w:t>Accumulated</w:t>
      </w:r>
      <w:r>
        <w:rPr>
          <w:i/>
          <w:spacing w:val="-5"/>
          <w:sz w:val="24"/>
        </w:rPr>
        <w:t> </w:t>
      </w:r>
      <w:r>
        <w:rPr>
          <w:i/>
          <w:sz w:val="24"/>
        </w:rPr>
        <w:t>Surplus, Social Assistance Expenditure, City Government, Sumatra.</w:t>
      </w:r>
    </w:p>
    <w:p>
      <w:pPr>
        <w:spacing w:after="0"/>
        <w:jc w:val="left"/>
        <w:rPr>
          <w:i/>
          <w:sz w:val="24"/>
        </w:rPr>
        <w:sectPr>
          <w:headerReference w:type="default" r:id="rId5"/>
          <w:footerReference w:type="default" r:id="rId6"/>
          <w:type w:val="continuous"/>
          <w:pgSz w:w="11910" w:h="16840"/>
          <w:pgMar w:header="2278" w:footer="1048" w:top="2540" w:bottom="1240" w:left="1700" w:right="1559"/>
          <w:pgNumType w:start="9"/>
        </w:sectPr>
      </w:pPr>
    </w:p>
    <w:p>
      <w:pPr>
        <w:pStyle w:val="BodyText"/>
        <w:spacing w:before="136"/>
        <w:rPr>
          <w:i/>
        </w:rPr>
      </w:pPr>
    </w:p>
    <w:p>
      <w:pPr>
        <w:spacing w:before="1"/>
        <w:ind w:left="568" w:right="136" w:firstLine="0"/>
        <w:jc w:val="both"/>
        <w:rPr>
          <w:b/>
          <w:sz w:val="24"/>
        </w:rPr>
      </w:pPr>
      <w:r>
        <w:rPr>
          <w:b/>
          <w:sz w:val="24"/>
        </w:rPr>
        <w:t>Pengaruh Otonomi Keuangan, Dana Alokasi Umum dan Akumulasi Surplus terhadap</w:t>
      </w:r>
      <w:r>
        <w:rPr>
          <w:b/>
          <w:spacing w:val="-7"/>
          <w:sz w:val="24"/>
        </w:rPr>
        <w:t> </w:t>
      </w:r>
      <w:r>
        <w:rPr>
          <w:b/>
          <w:sz w:val="24"/>
        </w:rPr>
        <w:t>Anggaran</w:t>
      </w:r>
      <w:r>
        <w:rPr>
          <w:b/>
          <w:spacing w:val="-7"/>
          <w:sz w:val="24"/>
        </w:rPr>
        <w:t> </w:t>
      </w:r>
      <w:r>
        <w:rPr>
          <w:b/>
          <w:sz w:val="24"/>
        </w:rPr>
        <w:t>Belanja</w:t>
      </w:r>
      <w:r>
        <w:rPr>
          <w:b/>
          <w:spacing w:val="-8"/>
          <w:sz w:val="24"/>
        </w:rPr>
        <w:t> </w:t>
      </w:r>
      <w:r>
        <w:rPr>
          <w:b/>
          <w:sz w:val="24"/>
        </w:rPr>
        <w:t>Bantuan</w:t>
      </w:r>
      <w:r>
        <w:rPr>
          <w:b/>
          <w:spacing w:val="-4"/>
          <w:sz w:val="24"/>
        </w:rPr>
        <w:t> </w:t>
      </w:r>
      <w:r>
        <w:rPr>
          <w:b/>
          <w:sz w:val="24"/>
        </w:rPr>
        <w:t>Belanja</w:t>
      </w:r>
      <w:r>
        <w:rPr>
          <w:b/>
          <w:spacing w:val="-10"/>
          <w:sz w:val="24"/>
        </w:rPr>
        <w:t> </w:t>
      </w:r>
      <w:r>
        <w:rPr>
          <w:b/>
          <w:sz w:val="24"/>
        </w:rPr>
        <w:t>Sosial</w:t>
      </w:r>
      <w:r>
        <w:rPr>
          <w:b/>
          <w:spacing w:val="-7"/>
          <w:sz w:val="24"/>
        </w:rPr>
        <w:t> </w:t>
      </w:r>
      <w:r>
        <w:rPr>
          <w:b/>
          <w:sz w:val="24"/>
        </w:rPr>
        <w:t>pada</w:t>
      </w:r>
      <w:r>
        <w:rPr>
          <w:b/>
          <w:spacing w:val="-8"/>
          <w:sz w:val="24"/>
        </w:rPr>
        <w:t> </w:t>
      </w:r>
      <w:r>
        <w:rPr>
          <w:b/>
          <w:sz w:val="24"/>
        </w:rPr>
        <w:t>Pemerintah</w:t>
      </w:r>
      <w:r>
        <w:rPr>
          <w:b/>
          <w:spacing w:val="-8"/>
          <w:sz w:val="24"/>
        </w:rPr>
        <w:t> </w:t>
      </w:r>
      <w:r>
        <w:rPr>
          <w:b/>
          <w:sz w:val="24"/>
        </w:rPr>
        <w:t>Kota</w:t>
      </w:r>
      <w:r>
        <w:rPr>
          <w:b/>
          <w:spacing w:val="-8"/>
          <w:sz w:val="24"/>
        </w:rPr>
        <w:t> </w:t>
      </w:r>
      <w:r>
        <w:rPr>
          <w:b/>
          <w:sz w:val="24"/>
        </w:rPr>
        <w:t>di Pulau Sumatera</w:t>
      </w:r>
    </w:p>
    <w:p>
      <w:pPr>
        <w:pStyle w:val="BodyText"/>
        <w:ind w:left="568" w:right="2817"/>
      </w:pPr>
      <w:r>
        <w:rPr/>
        <mc:AlternateContent>
          <mc:Choice Requires="wps">
            <w:drawing>
              <wp:anchor distT="0" distB="0" distL="0" distR="0" allowOverlap="1" layoutInCell="1" locked="0" behindDoc="1" simplePos="0" relativeHeight="487588352">
                <wp:simplePos x="0" y="0"/>
                <wp:positionH relativeFrom="page">
                  <wp:posOffset>1417637</wp:posOffset>
                </wp:positionH>
                <wp:positionV relativeFrom="paragraph">
                  <wp:posOffset>541896</wp:posOffset>
                </wp:positionV>
                <wp:extent cx="5057775" cy="62230"/>
                <wp:effectExtent l="0" t="0" r="0" b="0"/>
                <wp:wrapTopAndBottom/>
                <wp:docPr id="8" name="Group 8"/>
                <wp:cNvGraphicFramePr>
                  <a:graphicFrameLocks/>
                </wp:cNvGraphicFramePr>
                <a:graphic>
                  <a:graphicData uri="http://schemas.microsoft.com/office/word/2010/wordprocessingGroup">
                    <wpg:wgp>
                      <wpg:cNvPr id="8" name="Group 8"/>
                      <wpg:cNvGrpSpPr/>
                      <wpg:grpSpPr>
                        <a:xfrm>
                          <a:off x="0" y="0"/>
                          <a:ext cx="5057775" cy="62230"/>
                          <a:chExt cx="5057775" cy="62230"/>
                        </a:xfrm>
                      </wpg:grpSpPr>
                      <wps:wsp>
                        <wps:cNvPr id="9" name="Graphic 9"/>
                        <wps:cNvSpPr/>
                        <wps:spPr>
                          <a:xfrm>
                            <a:off x="14287" y="38100"/>
                            <a:ext cx="5029200" cy="9525"/>
                          </a:xfrm>
                          <a:custGeom>
                            <a:avLst/>
                            <a:gdLst/>
                            <a:ahLst/>
                            <a:cxnLst/>
                            <a:rect l="l" t="t" r="r" b="b"/>
                            <a:pathLst>
                              <a:path w="5029200" h="9525">
                                <a:moveTo>
                                  <a:pt x="0" y="0"/>
                                </a:moveTo>
                                <a:lnTo>
                                  <a:pt x="5029200" y="9525"/>
                                </a:lnTo>
                              </a:path>
                            </a:pathLst>
                          </a:custGeom>
                          <a:ln w="28575">
                            <a:solidFill>
                              <a:srgbClr val="000000"/>
                            </a:solidFill>
                            <a:prstDash val="solid"/>
                          </a:ln>
                        </wps:spPr>
                        <wps:bodyPr wrap="square" lIns="0" tIns="0" rIns="0" bIns="0" rtlCol="0">
                          <a:prstTxWarp prst="textNoShape">
                            <a:avLst/>
                          </a:prstTxWarp>
                          <a:noAutofit/>
                        </wps:bodyPr>
                      </wps:wsp>
                      <wps:wsp>
                        <wps:cNvPr id="10" name="Graphic 10"/>
                        <wps:cNvSpPr/>
                        <wps:spPr>
                          <a:xfrm>
                            <a:off x="22542" y="3175"/>
                            <a:ext cx="5029200" cy="9525"/>
                          </a:xfrm>
                          <a:custGeom>
                            <a:avLst/>
                            <a:gdLst/>
                            <a:ahLst/>
                            <a:cxnLst/>
                            <a:rect l="l" t="t" r="r" b="b"/>
                            <a:pathLst>
                              <a:path w="5029200" h="9525">
                                <a:moveTo>
                                  <a:pt x="0" y="0"/>
                                </a:moveTo>
                                <a:lnTo>
                                  <a:pt x="5029200" y="9525"/>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1.625pt;margin-top:42.668983pt;width:398.25pt;height:4.9pt;mso-position-horizontal-relative:page;mso-position-vertical-relative:paragraph;z-index:-15728128;mso-wrap-distance-left:0;mso-wrap-distance-right:0" id="docshapegroup6" coordorigin="2233,853" coordsize="7965,98">
                <v:line style="position:absolute" from="2255,913" to="10175,928" stroked="true" strokeweight="2.25pt" strokecolor="#000000">
                  <v:stroke dashstyle="solid"/>
                </v:line>
                <v:line style="position:absolute" from="2268,858" to="10188,873" stroked="true" strokeweight=".5pt" strokecolor="#000000">
                  <v:stroke dashstyle="solid"/>
                </v:line>
                <w10:wrap type="topAndBottom"/>
              </v:group>
            </w:pict>
          </mc:Fallback>
        </mc:AlternateContent>
      </w:r>
      <w:r>
        <w:rPr/>
        <w:t>Politeknik Negeri Sriwijaya, Jurusan Akuntansi Charlie</w:t>
      </w:r>
      <w:r>
        <w:rPr>
          <w:spacing w:val="-6"/>
        </w:rPr>
        <w:t> </w:t>
      </w:r>
      <w:r>
        <w:rPr/>
        <w:t>Viowika</w:t>
      </w:r>
      <w:r>
        <w:rPr>
          <w:spacing w:val="-6"/>
        </w:rPr>
        <w:t> </w:t>
      </w:r>
      <w:r>
        <w:rPr/>
        <w:t>Wijaya,</w:t>
      </w:r>
      <w:r>
        <w:rPr>
          <w:spacing w:val="-3"/>
        </w:rPr>
        <w:t> </w:t>
      </w:r>
      <w:r>
        <w:rPr/>
        <w:t>2025</w:t>
      </w:r>
      <w:r>
        <w:rPr>
          <w:spacing w:val="-5"/>
        </w:rPr>
        <w:t> </w:t>
      </w:r>
      <w:r>
        <w:rPr/>
        <w:t>(xvi</w:t>
      </w:r>
      <w:r>
        <w:rPr>
          <w:spacing w:val="-5"/>
        </w:rPr>
        <w:t> </w:t>
      </w:r>
      <w:r>
        <w:rPr/>
        <w:t>+</w:t>
      </w:r>
      <w:r>
        <w:rPr>
          <w:spacing w:val="-5"/>
        </w:rPr>
        <w:t> </w:t>
      </w:r>
      <w:r>
        <w:rPr/>
        <w:t>57</w:t>
      </w:r>
      <w:r>
        <w:rPr>
          <w:spacing w:val="-5"/>
        </w:rPr>
        <w:t> </w:t>
      </w:r>
      <w:r>
        <w:rPr/>
        <w:t>Halaman) Email: </w:t>
      </w:r>
      <w:hyperlink r:id="rId7">
        <w:r>
          <w:rPr>
            <w:color w:val="0462C1"/>
            <w:u w:val="single" w:color="0462C1"/>
          </w:rPr>
          <w:t>viowikacharlie@gmail.com</w:t>
        </w:r>
      </w:hyperlink>
    </w:p>
    <w:p>
      <w:pPr>
        <w:pStyle w:val="BodyText"/>
        <w:spacing w:before="153"/>
        <w:ind w:left="568" w:right="138"/>
        <w:jc w:val="both"/>
      </w:pPr>
      <w:r>
        <w:rPr/>
        <w:t>Penelitian ini menganalisis pengaruh otonomi keuangan, dana alokasi umum dan akumulasi surplus terhadap anggaran belanja bantuan sosial pada pemerintah kota di Pulau Sumatera periode 2019–2023. Penelitian ini menggunakan pendekatan kuantitatif dengan data sekunder yang diperoleh dari Laporan Realisasi Anggaran (LRA) pemerintah kota dan dianalisis menggunakan regresi linier berganda berbasis data panel melalui aplikasi Eviews 12. Hasil penelitian menunjukkan bahwa</w:t>
      </w:r>
      <w:r>
        <w:rPr>
          <w:spacing w:val="-15"/>
        </w:rPr>
        <w:t> </w:t>
      </w:r>
      <w:r>
        <w:rPr/>
        <w:t>secara</w:t>
      </w:r>
      <w:r>
        <w:rPr>
          <w:spacing w:val="-15"/>
        </w:rPr>
        <w:t> </w:t>
      </w:r>
      <w:r>
        <w:rPr/>
        <w:t>parsial,</w:t>
      </w:r>
      <w:r>
        <w:rPr>
          <w:spacing w:val="-14"/>
        </w:rPr>
        <w:t> </w:t>
      </w:r>
      <w:r>
        <w:rPr/>
        <w:t>otonomi</w:t>
      </w:r>
      <w:r>
        <w:rPr>
          <w:spacing w:val="-13"/>
        </w:rPr>
        <w:t> </w:t>
      </w:r>
      <w:r>
        <w:rPr/>
        <w:t>keuangan</w:t>
      </w:r>
      <w:r>
        <w:rPr>
          <w:spacing w:val="-14"/>
        </w:rPr>
        <w:t> </w:t>
      </w:r>
      <w:r>
        <w:rPr/>
        <w:t>dan</w:t>
      </w:r>
      <w:r>
        <w:rPr>
          <w:spacing w:val="-14"/>
        </w:rPr>
        <w:t> </w:t>
      </w:r>
      <w:r>
        <w:rPr/>
        <w:t>akumulasi</w:t>
      </w:r>
      <w:r>
        <w:rPr>
          <w:spacing w:val="-14"/>
        </w:rPr>
        <w:t> </w:t>
      </w:r>
      <w:r>
        <w:rPr/>
        <w:t>surplus</w:t>
      </w:r>
      <w:r>
        <w:rPr>
          <w:spacing w:val="-14"/>
        </w:rPr>
        <w:t> </w:t>
      </w:r>
      <w:r>
        <w:rPr/>
        <w:t>berpengaruh</w:t>
      </w:r>
      <w:r>
        <w:rPr>
          <w:spacing w:val="-13"/>
        </w:rPr>
        <w:t> </w:t>
      </w:r>
      <w:r>
        <w:rPr/>
        <w:t>positif signifikan terhadap anggaran belanja bantuan sosial, sementara DAU tidak berpengaruh signifikan. Secara simultan, ketiga variabel independen tersebut berpengaruh signifikan terhadap anggaran belanja bantuan sosial. Temuan ini mengindikasikan</w:t>
      </w:r>
      <w:r>
        <w:rPr>
          <w:spacing w:val="-15"/>
        </w:rPr>
        <w:t> </w:t>
      </w:r>
      <w:r>
        <w:rPr/>
        <w:t>bahwa</w:t>
      </w:r>
      <w:r>
        <w:rPr>
          <w:spacing w:val="-15"/>
        </w:rPr>
        <w:t> </w:t>
      </w:r>
      <w:r>
        <w:rPr/>
        <w:t>kemandirian</w:t>
      </w:r>
      <w:r>
        <w:rPr>
          <w:spacing w:val="-15"/>
        </w:rPr>
        <w:t> </w:t>
      </w:r>
      <w:r>
        <w:rPr/>
        <w:t>fiskal</w:t>
      </w:r>
      <w:r>
        <w:rPr>
          <w:spacing w:val="-15"/>
        </w:rPr>
        <w:t> </w:t>
      </w:r>
      <w:r>
        <w:rPr/>
        <w:t>dan</w:t>
      </w:r>
      <w:r>
        <w:rPr>
          <w:spacing w:val="-15"/>
        </w:rPr>
        <w:t> </w:t>
      </w:r>
      <w:r>
        <w:rPr/>
        <w:t>pengelolaan</w:t>
      </w:r>
      <w:r>
        <w:rPr>
          <w:spacing w:val="-15"/>
        </w:rPr>
        <w:t> </w:t>
      </w:r>
      <w:r>
        <w:rPr/>
        <w:t>surplus</w:t>
      </w:r>
      <w:r>
        <w:rPr>
          <w:spacing w:val="-15"/>
        </w:rPr>
        <w:t> </w:t>
      </w:r>
      <w:r>
        <w:rPr/>
        <w:t>anggaran</w:t>
      </w:r>
      <w:r>
        <w:rPr>
          <w:spacing w:val="-15"/>
        </w:rPr>
        <w:t> </w:t>
      </w:r>
      <w:r>
        <w:rPr/>
        <w:t>yang baik dapat mendorong peningkatan belanja</w:t>
      </w:r>
      <w:r>
        <w:rPr>
          <w:spacing w:val="-1"/>
        </w:rPr>
        <w:t> </w:t>
      </w:r>
      <w:r>
        <w:rPr/>
        <w:t>bantuan sosial di daerah. Penelitian ini memberikan implikasi bagi pemerintah daerah untuk meningkatkan efisiensi dan akuntabilitas dalam pengelolaan keuangan daerah guna mendukung kesejahteraan </w:t>
      </w:r>
      <w:r>
        <w:rPr>
          <w:spacing w:val="-2"/>
        </w:rPr>
        <w:t>masyarakat.</w:t>
      </w:r>
    </w:p>
    <w:p>
      <w:pPr>
        <w:pStyle w:val="BodyText"/>
        <w:spacing w:before="1"/>
      </w:pPr>
    </w:p>
    <w:p>
      <w:pPr>
        <w:pStyle w:val="BodyText"/>
        <w:ind w:left="568" w:right="136"/>
        <w:jc w:val="both"/>
      </w:pPr>
      <w:r>
        <w:rPr>
          <w:b/>
        </w:rPr>
        <w:t>Kata kunci: </w:t>
      </w:r>
      <w:r>
        <w:rPr/>
        <w:t>Otonomi Keuangan, Dana Alokasi Umum, Akumulasi Surplus, Belanja Bantuan Sosial, Pemerintah Kota, Sumatera.</w:t>
      </w:r>
    </w:p>
    <w:sectPr>
      <w:headerReference w:type="default" r:id="rId8"/>
      <w:footerReference w:type="default" r:id="rId9"/>
      <w:pgSz w:w="11910" w:h="16840"/>
      <w:pgMar w:header="2278" w:footer="1048" w:top="2540" w:bottom="124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50464">
              <wp:simplePos x="0" y="0"/>
              <wp:positionH relativeFrom="page">
                <wp:posOffset>3862704</wp:posOffset>
              </wp:positionH>
              <wp:positionV relativeFrom="page">
                <wp:posOffset>9887034</wp:posOffset>
              </wp:positionV>
              <wp:extent cx="208279"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08279" cy="194310"/>
                      </a:xfrm>
                      <a:prstGeom prst="rect">
                        <a:avLst/>
                      </a:prstGeom>
                    </wps:spPr>
                    <wps:txbx>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ix</w:t>
                          </w:r>
                          <w:r>
                            <w:rPr>
                              <w:spacing w:val="-5"/>
                            </w:rPr>
                            <w:fldChar w:fldCharType="end"/>
                          </w:r>
                        </w:p>
                      </w:txbxContent>
                    </wps:txbx>
                    <wps:bodyPr wrap="square" lIns="0" tIns="0" rIns="0" bIns="0" rtlCol="0">
                      <a:noAutofit/>
                    </wps:bodyPr>
                  </wps:wsp>
                </a:graphicData>
              </a:graphic>
            </wp:anchor>
          </w:drawing>
        </mc:Choice>
        <mc:Fallback>
          <w:pict>
            <v:shape style="position:absolute;margin-left:304.149994pt;margin-top:778.506653pt;width:16.4pt;height:15.3pt;mso-position-horizontal-relative:page;mso-position-vertical-relative:page;z-index:-15766016" type="#_x0000_t202" id="docshape2" filled="false" stroked="false">
              <v:textbox inset="0,0,0,0">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ix</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51488">
              <wp:simplePos x="0" y="0"/>
              <wp:positionH relativeFrom="page">
                <wp:posOffset>3884040</wp:posOffset>
              </wp:positionH>
              <wp:positionV relativeFrom="page">
                <wp:posOffset>9887034</wp:posOffset>
              </wp:positionV>
              <wp:extent cx="165100" cy="1943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 roman </w:instrText>
                          </w:r>
                          <w:r>
                            <w:rPr>
                              <w:spacing w:val="-10"/>
                            </w:rPr>
                            <w:fldChar w:fldCharType="separate"/>
                          </w:r>
                          <w:r>
                            <w:rPr>
                              <w:spacing w:val="-10"/>
                            </w:rPr>
                            <w:t>x</w:t>
                          </w:r>
                          <w:r>
                            <w:rPr>
                              <w:spacing w:val="-10"/>
                            </w:rPr>
                            <w:fldChar w:fldCharType="end"/>
                          </w:r>
                        </w:p>
                      </w:txbxContent>
                    </wps:txbx>
                    <wps:bodyPr wrap="square" lIns="0" tIns="0" rIns="0" bIns="0" rtlCol="0">
                      <a:noAutofit/>
                    </wps:bodyPr>
                  </wps:wsp>
                </a:graphicData>
              </a:graphic>
            </wp:anchor>
          </w:drawing>
        </mc:Choice>
        <mc:Fallback>
          <w:pict>
            <v:shape style="position:absolute;margin-left:305.829987pt;margin-top:778.506653pt;width:13pt;height:15.3pt;mso-position-horizontal-relative:page;mso-position-vertical-relative:page;z-index:-15764992" type="#_x0000_t202" id="docshape5" filled="false" stroked="false">
              <v:textbox inset="0,0,0,0">
                <w:txbxContent>
                  <w:p>
                    <w:pPr>
                      <w:pStyle w:val="BodyText"/>
                      <w:spacing w:before="10"/>
                      <w:ind w:left="60"/>
                    </w:pPr>
                    <w:r>
                      <w:rPr>
                        <w:spacing w:val="-10"/>
                      </w:rPr>
                      <w:fldChar w:fldCharType="begin"/>
                    </w:r>
                    <w:r>
                      <w:rPr>
                        <w:spacing w:val="-10"/>
                      </w:rPr>
                      <w:instrText> PAGE  \* roman </w:instrText>
                    </w:r>
                    <w:r>
                      <w:rPr>
                        <w:spacing w:val="-10"/>
                      </w:rPr>
                      <w:fldChar w:fldCharType="separate"/>
                    </w:r>
                    <w:r>
                      <w:rPr>
                        <w:spacing w:val="-10"/>
                      </w:rPr>
                      <w:t>x</w:t>
                    </w:r>
                    <w:r>
                      <w:rPr>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49952">
              <wp:simplePos x="0" y="0"/>
              <wp:positionH relativeFrom="page">
                <wp:posOffset>3532759</wp:posOffset>
              </wp:positionH>
              <wp:positionV relativeFrom="page">
                <wp:posOffset>1433660</wp:posOffset>
              </wp:positionV>
              <wp:extent cx="85598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55980" cy="194310"/>
                      </a:xfrm>
                      <a:prstGeom prst="rect">
                        <a:avLst/>
                      </a:prstGeom>
                    </wps:spPr>
                    <wps:txbx>
                      <w:txbxContent>
                        <w:p>
                          <w:pPr>
                            <w:spacing w:before="10"/>
                            <w:ind w:left="20" w:right="0" w:firstLine="0"/>
                            <w:jc w:val="left"/>
                            <w:rPr>
                              <w:b/>
                              <w:sz w:val="24"/>
                            </w:rPr>
                          </w:pPr>
                          <w:r>
                            <w:rPr>
                              <w:b/>
                              <w:spacing w:val="-2"/>
                              <w:sz w:val="24"/>
                            </w:rPr>
                            <w:t>ABSTRACT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8.170013pt;margin-top:112.886627pt;width:67.4pt;height:15.3pt;mso-position-horizontal-relative:page;mso-position-vertical-relative:page;z-index:-15766528" type="#_x0000_t202" id="docshape1" filled="false" stroked="false">
              <v:textbox inset="0,0,0,0">
                <w:txbxContent>
                  <w:p>
                    <w:pPr>
                      <w:spacing w:before="10"/>
                      <w:ind w:left="20" w:right="0" w:firstLine="0"/>
                      <w:jc w:val="left"/>
                      <w:rPr>
                        <w:b/>
                        <w:sz w:val="24"/>
                      </w:rPr>
                    </w:pPr>
                    <w:r>
                      <w:rPr>
                        <w:b/>
                        <w:spacing w:val="-2"/>
                        <w:sz w:val="24"/>
                      </w:rPr>
                      <w:t>ABSTRACT</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50976">
              <wp:simplePos x="0" y="0"/>
              <wp:positionH relativeFrom="page">
                <wp:posOffset>3580003</wp:posOffset>
              </wp:positionH>
              <wp:positionV relativeFrom="page">
                <wp:posOffset>1433660</wp:posOffset>
              </wp:positionV>
              <wp:extent cx="762635" cy="1943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762635" cy="194310"/>
                      </a:xfrm>
                      <a:prstGeom prst="rect">
                        <a:avLst/>
                      </a:prstGeom>
                    </wps:spPr>
                    <wps:txbx>
                      <w:txbxContent>
                        <w:p>
                          <w:pPr>
                            <w:spacing w:before="10"/>
                            <w:ind w:left="20" w:right="0" w:firstLine="0"/>
                            <w:jc w:val="left"/>
                            <w:rPr>
                              <w:b/>
                              <w:sz w:val="24"/>
                            </w:rPr>
                          </w:pPr>
                          <w:r>
                            <w:rPr>
                              <w:b/>
                              <w:spacing w:val="-2"/>
                              <w:sz w:val="24"/>
                            </w:rPr>
                            <w:t>ABSTRAK</w:t>
                          </w:r>
                        </w:p>
                      </w:txbxContent>
                    </wps:txbx>
                    <wps:bodyPr wrap="square" lIns="0" tIns="0" rIns="0" bIns="0" rtlCol="0">
                      <a:noAutofit/>
                    </wps:bodyPr>
                  </wps:wsp>
                </a:graphicData>
              </a:graphic>
            </wp:anchor>
          </w:drawing>
        </mc:Choice>
        <mc:Fallback>
          <w:pict>
            <v:shape style="position:absolute;margin-left:281.890015pt;margin-top:112.886627pt;width:60.05pt;height:15.3pt;mso-position-horizontal-relative:page;mso-position-vertical-relative:page;z-index:-15765504" type="#_x0000_t202" id="docshape4" filled="false" stroked="false">
              <v:textbox inset="0,0,0,0">
                <w:txbxContent>
                  <w:p>
                    <w:pPr>
                      <w:spacing w:before="10"/>
                      <w:ind w:left="20" w:right="0" w:firstLine="0"/>
                      <w:jc w:val="left"/>
                      <w:rPr>
                        <w:b/>
                        <w:sz w:val="24"/>
                      </w:rPr>
                    </w:pPr>
                    <w:r>
                      <w:rPr>
                        <w:b/>
                        <w:spacing w:val="-2"/>
                        <w:sz w:val="24"/>
                      </w:rPr>
                      <w:t>ABSTRAK</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viowikacharlie@gmail.com" TargetMode="External"/><Relationship Id="rId8" Type="http://schemas.openxmlformats.org/officeDocument/2006/relationships/header" Target="header2.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2025-08-14T09:31:19Z</dcterms:created>
  <dcterms:modified xsi:type="dcterms:W3CDTF">2025-08-14T09:31:19Z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2025-08-14T00:00:00Z</vt:filetime>
  </property>
  <property fmtid="{D5CDD505-2E9C-101B-9397-08002B2CF9AE}" pid="3" name="LastSaved">
    <vt:filetime>2025-08-14T00:00:00Z</vt:filetime>
  </property>
  <property fmtid="{D5CDD505-2E9C-101B-9397-08002B2CF9AE}" pid="4" name="Producer">
    <vt:lpwstr>iLovePDF</vt:lpwstr>
  </property>
</Properties>
</file>