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D5" w:rsidRPr="006D2DD5" w:rsidRDefault="006D2DD5" w:rsidP="006D2DD5">
      <w:pPr>
        <w:spacing w:after="0" w:line="360" w:lineRule="auto"/>
        <w:jc w:val="center"/>
        <w:rPr>
          <w:rFonts w:asciiTheme="majorBidi" w:hAnsiTheme="majorBidi" w:cstheme="majorBidi"/>
          <w:b/>
          <w:bCs/>
          <w:sz w:val="24"/>
          <w:szCs w:val="24"/>
        </w:rPr>
      </w:pPr>
      <w:r w:rsidRPr="006D2DD5">
        <w:rPr>
          <w:rFonts w:asciiTheme="majorBidi" w:hAnsiTheme="majorBidi" w:cstheme="majorBidi"/>
          <w:b/>
          <w:bCs/>
          <w:sz w:val="24"/>
          <w:szCs w:val="24"/>
        </w:rPr>
        <w:t xml:space="preserve">BAB I </w:t>
      </w:r>
    </w:p>
    <w:p w:rsidR="006D2DD5" w:rsidRPr="006D2DD5" w:rsidRDefault="006D2DD5" w:rsidP="006D2DD5">
      <w:pPr>
        <w:spacing w:after="0" w:line="360" w:lineRule="auto"/>
        <w:jc w:val="center"/>
        <w:rPr>
          <w:rFonts w:asciiTheme="majorBidi" w:hAnsiTheme="majorBidi" w:cstheme="majorBidi"/>
          <w:b/>
          <w:bCs/>
          <w:sz w:val="24"/>
          <w:szCs w:val="24"/>
        </w:rPr>
      </w:pPr>
      <w:r w:rsidRPr="006D2DD5">
        <w:rPr>
          <w:rFonts w:asciiTheme="majorBidi" w:hAnsiTheme="majorBidi" w:cstheme="majorBidi"/>
          <w:b/>
          <w:bCs/>
          <w:sz w:val="24"/>
          <w:szCs w:val="24"/>
        </w:rPr>
        <w:t>PENDAHULUAN</w:t>
      </w:r>
    </w:p>
    <w:p w:rsidR="006D2DD5" w:rsidRDefault="006D2DD5" w:rsidP="006D2DD5">
      <w:pPr>
        <w:spacing w:after="0" w:line="360" w:lineRule="auto"/>
        <w:jc w:val="center"/>
        <w:rPr>
          <w:rFonts w:asciiTheme="majorBidi" w:hAnsiTheme="majorBidi" w:cstheme="majorBidi"/>
          <w:sz w:val="24"/>
          <w:szCs w:val="24"/>
        </w:rPr>
      </w:pPr>
    </w:p>
    <w:p w:rsidR="006D2DD5" w:rsidRPr="006D2DD5" w:rsidRDefault="006D2DD5" w:rsidP="006D2DD5">
      <w:pPr>
        <w:spacing w:after="0" w:line="360" w:lineRule="auto"/>
        <w:rPr>
          <w:rFonts w:asciiTheme="majorBidi" w:hAnsiTheme="majorBidi" w:cstheme="majorBidi"/>
          <w:b/>
          <w:bCs/>
          <w:sz w:val="24"/>
          <w:szCs w:val="24"/>
        </w:rPr>
      </w:pPr>
      <w:r w:rsidRPr="006D2DD5">
        <w:rPr>
          <w:rFonts w:asciiTheme="majorBidi" w:hAnsiTheme="majorBidi" w:cstheme="majorBidi"/>
          <w:b/>
          <w:bCs/>
          <w:sz w:val="24"/>
          <w:szCs w:val="24"/>
        </w:rPr>
        <w:t>1.1.      Latar Belakang Permasalahan</w:t>
      </w:r>
    </w:p>
    <w:p w:rsidR="00173818" w:rsidRDefault="00C10AD7" w:rsidP="006D2DD5">
      <w:pPr>
        <w:spacing w:after="0" w:line="360" w:lineRule="auto"/>
        <w:jc w:val="both"/>
        <w:rPr>
          <w:rFonts w:ascii="Times New Roman" w:hAnsi="Times New Roman" w:cs="Times New Roman"/>
          <w:color w:val="000000" w:themeColor="text1"/>
          <w:sz w:val="24"/>
          <w:szCs w:val="24"/>
          <w:shd w:val="clear" w:color="auto" w:fill="FFFFFF"/>
          <w:lang w:val="en-US"/>
        </w:rPr>
      </w:pPr>
      <w:r>
        <w:rPr>
          <w:rFonts w:asciiTheme="majorBidi" w:hAnsiTheme="majorBidi" w:cstheme="majorBidi"/>
          <w:sz w:val="24"/>
          <w:szCs w:val="24"/>
        </w:rPr>
        <w:tab/>
        <w:t xml:space="preserve">Kerangka Negara Republik Indonesia yang terdiri dari </w:t>
      </w:r>
      <w:r w:rsidR="00723082">
        <w:rPr>
          <w:rFonts w:asciiTheme="majorBidi" w:hAnsiTheme="majorBidi" w:cstheme="majorBidi"/>
          <w:sz w:val="24"/>
          <w:szCs w:val="24"/>
        </w:rPr>
        <w:t>daerah provinsi dan kabupaten/</w:t>
      </w:r>
      <w:r w:rsidR="00D80CE7">
        <w:rPr>
          <w:rFonts w:asciiTheme="majorBidi" w:hAnsiTheme="majorBidi" w:cstheme="majorBidi"/>
          <w:sz w:val="24"/>
          <w:szCs w:val="24"/>
        </w:rPr>
        <w:t>kota diatur oleh Undang-</w:t>
      </w:r>
      <w:r>
        <w:rPr>
          <w:rFonts w:asciiTheme="majorBidi" w:hAnsiTheme="majorBidi" w:cstheme="majorBidi"/>
          <w:sz w:val="24"/>
          <w:szCs w:val="24"/>
        </w:rPr>
        <w:t xml:space="preserve">Undang Dasar Republik Indonesia Pasal 18 ayat (1) </w:t>
      </w:r>
      <w:r w:rsidR="00FE2526">
        <w:rPr>
          <w:rFonts w:asciiTheme="majorBidi" w:hAnsiTheme="majorBidi" w:cstheme="majorBidi"/>
          <w:sz w:val="24"/>
          <w:szCs w:val="24"/>
          <w:lang w:val="en-US"/>
        </w:rPr>
        <w:t>tentang Negara Kesatuan Republik Indonesia dibagi atas daerah-daerah provinsi dan daerah provinsi itu dibagi atas kabupaten dan kota, yang tiap-tiap provinsi, kabupaten dan kota itu mempunyai pemerintah daerah yang diatur dengan undang-undang</w:t>
      </w:r>
      <w:r w:rsidR="00723082">
        <w:rPr>
          <w:rFonts w:asciiTheme="majorBidi" w:hAnsiTheme="majorBidi" w:cstheme="majorBidi"/>
          <w:sz w:val="24"/>
          <w:szCs w:val="24"/>
        </w:rPr>
        <w:t xml:space="preserve">. </w:t>
      </w:r>
      <w:r w:rsidR="00723082">
        <w:rPr>
          <w:rFonts w:asciiTheme="majorBidi" w:hAnsiTheme="majorBidi" w:cstheme="majorBidi"/>
          <w:sz w:val="24"/>
          <w:szCs w:val="24"/>
          <w:lang w:val="en-US"/>
        </w:rPr>
        <w:t>Menurut</w:t>
      </w:r>
      <w:r w:rsidR="00723082">
        <w:rPr>
          <w:rFonts w:asciiTheme="majorBidi" w:hAnsiTheme="majorBidi" w:cstheme="majorBidi"/>
          <w:sz w:val="24"/>
          <w:szCs w:val="24"/>
        </w:rPr>
        <w:t xml:space="preserve"> Undang-</w:t>
      </w:r>
      <w:r w:rsidR="00321D8E">
        <w:rPr>
          <w:rFonts w:asciiTheme="majorBidi" w:hAnsiTheme="majorBidi" w:cstheme="majorBidi"/>
          <w:sz w:val="24"/>
          <w:szCs w:val="24"/>
        </w:rPr>
        <w:t>Undang Nomor 2</w:t>
      </w:r>
      <w:r w:rsidR="00321D8E">
        <w:rPr>
          <w:rFonts w:asciiTheme="majorBidi" w:hAnsiTheme="majorBidi" w:cstheme="majorBidi"/>
          <w:sz w:val="24"/>
          <w:szCs w:val="24"/>
          <w:lang w:val="en-US"/>
        </w:rPr>
        <w:t>3</w:t>
      </w:r>
      <w:r>
        <w:rPr>
          <w:rFonts w:asciiTheme="majorBidi" w:hAnsiTheme="majorBidi" w:cstheme="majorBidi"/>
          <w:sz w:val="24"/>
          <w:szCs w:val="24"/>
        </w:rPr>
        <w:t xml:space="preserve"> tahun </w:t>
      </w:r>
      <w:r w:rsidR="00321D8E">
        <w:rPr>
          <w:rFonts w:asciiTheme="majorBidi" w:hAnsiTheme="majorBidi" w:cstheme="majorBidi"/>
          <w:sz w:val="24"/>
          <w:szCs w:val="24"/>
          <w:lang w:val="en-US"/>
        </w:rPr>
        <w:t>2014</w:t>
      </w:r>
      <w:r w:rsidR="00ED4485">
        <w:rPr>
          <w:rFonts w:asciiTheme="majorBidi" w:hAnsiTheme="majorBidi" w:cstheme="majorBidi"/>
          <w:sz w:val="24"/>
          <w:szCs w:val="24"/>
          <w:lang w:val="en-US"/>
        </w:rPr>
        <w:t xml:space="preserve"> </w:t>
      </w:r>
      <w:r w:rsidR="00ED4485">
        <w:rPr>
          <w:rFonts w:asciiTheme="majorBidi" w:hAnsiTheme="majorBidi" w:cstheme="majorBidi"/>
          <w:sz w:val="24"/>
          <w:szCs w:val="24"/>
        </w:rPr>
        <w:t>te</w:t>
      </w:r>
      <w:r w:rsidR="00321D8E">
        <w:rPr>
          <w:rFonts w:asciiTheme="majorBidi" w:hAnsiTheme="majorBidi" w:cstheme="majorBidi"/>
          <w:sz w:val="24"/>
          <w:szCs w:val="24"/>
          <w:lang w:val="en-US"/>
        </w:rPr>
        <w:t>n</w:t>
      </w:r>
      <w:r w:rsidR="00ED4485">
        <w:rPr>
          <w:rFonts w:asciiTheme="majorBidi" w:hAnsiTheme="majorBidi" w:cstheme="majorBidi"/>
          <w:sz w:val="24"/>
          <w:szCs w:val="24"/>
        </w:rPr>
        <w:t>tang Pemerintah Daerah</w:t>
      </w:r>
      <w:r>
        <w:rPr>
          <w:rFonts w:asciiTheme="majorBidi" w:hAnsiTheme="majorBidi" w:cstheme="majorBidi"/>
          <w:sz w:val="24"/>
          <w:szCs w:val="24"/>
        </w:rPr>
        <w:t xml:space="preserve"> yang te</w:t>
      </w:r>
      <w:r w:rsidR="00723082">
        <w:rPr>
          <w:rFonts w:asciiTheme="majorBidi" w:hAnsiTheme="majorBidi" w:cstheme="majorBidi"/>
          <w:sz w:val="24"/>
          <w:szCs w:val="24"/>
        </w:rPr>
        <w:t>lah diamandemen dengan Undang-</w:t>
      </w:r>
      <w:r>
        <w:rPr>
          <w:rFonts w:asciiTheme="majorBidi" w:hAnsiTheme="majorBidi" w:cstheme="majorBidi"/>
          <w:sz w:val="24"/>
          <w:szCs w:val="24"/>
        </w:rPr>
        <w:t xml:space="preserve">Undang Nomor </w:t>
      </w:r>
      <w:r w:rsidR="00321D8E">
        <w:rPr>
          <w:rFonts w:asciiTheme="majorBidi" w:hAnsiTheme="majorBidi" w:cstheme="majorBidi"/>
          <w:sz w:val="24"/>
          <w:szCs w:val="24"/>
          <w:lang w:val="en-US"/>
        </w:rPr>
        <w:t>9</w:t>
      </w:r>
      <w:r>
        <w:rPr>
          <w:rFonts w:asciiTheme="majorBidi" w:hAnsiTheme="majorBidi" w:cstheme="majorBidi"/>
          <w:sz w:val="24"/>
          <w:szCs w:val="24"/>
        </w:rPr>
        <w:t xml:space="preserve"> tahun 20</w:t>
      </w:r>
      <w:r w:rsidR="00321D8E">
        <w:rPr>
          <w:rFonts w:asciiTheme="majorBidi" w:hAnsiTheme="majorBidi" w:cstheme="majorBidi"/>
          <w:sz w:val="24"/>
          <w:szCs w:val="24"/>
          <w:lang w:val="en-US"/>
        </w:rPr>
        <w:t>15</w:t>
      </w:r>
      <w:r>
        <w:rPr>
          <w:rFonts w:asciiTheme="majorBidi" w:hAnsiTheme="majorBidi" w:cstheme="majorBidi"/>
          <w:sz w:val="24"/>
          <w:szCs w:val="24"/>
        </w:rPr>
        <w:t xml:space="preserve"> </w:t>
      </w:r>
      <w:r w:rsidR="00DD1EC6">
        <w:rPr>
          <w:rFonts w:ascii="Times New Roman" w:eastAsia="Times New Roman" w:hAnsi="Times New Roman" w:cs="Times New Roman"/>
          <w:sz w:val="24"/>
          <w:szCs w:val="24"/>
        </w:rPr>
        <w:t>p</w:t>
      </w:r>
      <w:r w:rsidR="00DD1EC6">
        <w:rPr>
          <w:rFonts w:ascii="Times New Roman" w:eastAsia="Times New Roman" w:hAnsi="Times New Roman" w:cs="Times New Roman"/>
          <w:spacing w:val="-1"/>
          <w:sz w:val="24"/>
          <w:szCs w:val="24"/>
        </w:rPr>
        <w:t>a</w:t>
      </w:r>
      <w:r w:rsidR="00DD1EC6">
        <w:rPr>
          <w:rFonts w:ascii="Times New Roman" w:eastAsia="Times New Roman" w:hAnsi="Times New Roman" w:cs="Times New Roman"/>
          <w:sz w:val="24"/>
          <w:szCs w:val="24"/>
        </w:rPr>
        <w:t>s</w:t>
      </w:r>
      <w:r w:rsidR="00DD1EC6">
        <w:rPr>
          <w:rFonts w:ascii="Times New Roman" w:eastAsia="Times New Roman" w:hAnsi="Times New Roman" w:cs="Times New Roman"/>
          <w:spacing w:val="-1"/>
          <w:sz w:val="24"/>
          <w:szCs w:val="24"/>
        </w:rPr>
        <w:t>a</w:t>
      </w:r>
      <w:r w:rsidR="00DD1EC6">
        <w:rPr>
          <w:rFonts w:ascii="Times New Roman" w:eastAsia="Times New Roman" w:hAnsi="Times New Roman" w:cs="Times New Roman"/>
          <w:sz w:val="24"/>
          <w:szCs w:val="24"/>
        </w:rPr>
        <w:t>l</w:t>
      </w:r>
      <w:r w:rsidR="00DD1EC6">
        <w:rPr>
          <w:rFonts w:ascii="Times New Roman" w:eastAsia="Times New Roman" w:hAnsi="Times New Roman" w:cs="Times New Roman"/>
          <w:spacing w:val="2"/>
          <w:sz w:val="24"/>
          <w:szCs w:val="24"/>
        </w:rPr>
        <w:t xml:space="preserve"> </w:t>
      </w:r>
      <w:r w:rsidR="00DD1EC6">
        <w:rPr>
          <w:rFonts w:ascii="Times New Roman" w:eastAsia="Times New Roman" w:hAnsi="Times New Roman" w:cs="Times New Roman"/>
          <w:sz w:val="24"/>
          <w:szCs w:val="24"/>
        </w:rPr>
        <w:t xml:space="preserve">1 </w:t>
      </w:r>
      <w:r w:rsidR="00DD1EC6">
        <w:rPr>
          <w:rFonts w:ascii="Times New Roman" w:eastAsia="Times New Roman" w:hAnsi="Times New Roman" w:cs="Times New Roman"/>
          <w:spacing w:val="1"/>
          <w:sz w:val="24"/>
          <w:szCs w:val="24"/>
        </w:rPr>
        <w:t>a</w:t>
      </w:r>
      <w:r w:rsidR="00DD1EC6">
        <w:rPr>
          <w:rFonts w:ascii="Times New Roman" w:eastAsia="Times New Roman" w:hAnsi="Times New Roman" w:cs="Times New Roman"/>
          <w:spacing w:val="-5"/>
          <w:sz w:val="24"/>
          <w:szCs w:val="24"/>
        </w:rPr>
        <w:t>y</w:t>
      </w:r>
      <w:r w:rsidR="00DD1EC6">
        <w:rPr>
          <w:rFonts w:ascii="Times New Roman" w:eastAsia="Times New Roman" w:hAnsi="Times New Roman" w:cs="Times New Roman"/>
          <w:spacing w:val="1"/>
          <w:sz w:val="24"/>
          <w:szCs w:val="24"/>
        </w:rPr>
        <w:t>a</w:t>
      </w:r>
      <w:r w:rsidR="00DD1EC6">
        <w:rPr>
          <w:rFonts w:ascii="Times New Roman" w:eastAsia="Times New Roman" w:hAnsi="Times New Roman" w:cs="Times New Roman"/>
          <w:sz w:val="24"/>
          <w:szCs w:val="24"/>
        </w:rPr>
        <w:t>t</w:t>
      </w:r>
      <w:r w:rsidR="00DD1EC6">
        <w:rPr>
          <w:rFonts w:ascii="Times New Roman" w:eastAsia="Times New Roman" w:hAnsi="Times New Roman" w:cs="Times New Roman"/>
          <w:spacing w:val="1"/>
          <w:sz w:val="24"/>
          <w:szCs w:val="24"/>
        </w:rPr>
        <w:t xml:space="preserve"> </w:t>
      </w:r>
      <w:r w:rsidR="00DD1EC6">
        <w:rPr>
          <w:rFonts w:ascii="Times New Roman" w:eastAsia="Times New Roman" w:hAnsi="Times New Roman" w:cs="Times New Roman"/>
          <w:sz w:val="24"/>
          <w:szCs w:val="24"/>
        </w:rPr>
        <w:t>6</w:t>
      </w:r>
      <w:r w:rsidR="00DD1EC6">
        <w:rPr>
          <w:rFonts w:ascii="Times New Roman" w:eastAsia="Times New Roman" w:hAnsi="Times New Roman" w:cs="Times New Roman"/>
          <w:sz w:val="24"/>
          <w:szCs w:val="24"/>
          <w:lang w:val="en-US"/>
        </w:rPr>
        <w:t xml:space="preserve"> </w:t>
      </w:r>
      <w:r>
        <w:rPr>
          <w:rFonts w:asciiTheme="majorBidi" w:hAnsiTheme="majorBidi" w:cstheme="majorBidi"/>
          <w:sz w:val="24"/>
          <w:szCs w:val="24"/>
        </w:rPr>
        <w:t xml:space="preserve">menyatakan bahwa </w:t>
      </w:r>
      <w:r w:rsidR="00DD1EC6">
        <w:rPr>
          <w:rFonts w:asciiTheme="majorBidi" w:hAnsiTheme="majorBidi" w:cstheme="majorBidi"/>
          <w:sz w:val="24"/>
          <w:szCs w:val="24"/>
          <w:lang w:val="en-US"/>
        </w:rPr>
        <w:t>otonomi daerah adalah hak, wewenang dan kewajiban daerah otonom untuk mengatur dan mengurus sendiri urusan pemerintahan dan kepentingan masyarakat setempat sesuai dengan peraturan perundang-undangan.</w:t>
      </w:r>
      <w:r w:rsidR="00DD1EC6">
        <w:rPr>
          <w:rFonts w:ascii="Times New Roman" w:eastAsia="Times New Roman" w:hAnsi="Times New Roman" w:cs="Times New Roman"/>
          <w:spacing w:val="4"/>
          <w:sz w:val="24"/>
          <w:szCs w:val="24"/>
          <w:lang w:val="en-US"/>
        </w:rPr>
        <w:t xml:space="preserve"> </w:t>
      </w:r>
      <w:r w:rsidR="00960226">
        <w:rPr>
          <w:rFonts w:ascii="Times New Roman" w:hAnsi="Times New Roman" w:cs="Times New Roman"/>
          <w:color w:val="000000" w:themeColor="text1"/>
          <w:sz w:val="24"/>
          <w:szCs w:val="24"/>
          <w:shd w:val="clear" w:color="auto" w:fill="FFFFFF"/>
          <w:lang w:val="en-US"/>
        </w:rPr>
        <w:t xml:space="preserve">Pelaksanaan otonomi daerah merupakan titik </w:t>
      </w:r>
      <w:r w:rsidR="0065659D">
        <w:rPr>
          <w:rFonts w:ascii="Times New Roman" w:hAnsi="Times New Roman" w:cs="Times New Roman"/>
          <w:color w:val="000000" w:themeColor="text1"/>
          <w:sz w:val="24"/>
          <w:szCs w:val="24"/>
          <w:shd w:val="clear" w:color="auto" w:fill="FFFFFF"/>
          <w:lang w:val="en-US"/>
        </w:rPr>
        <w:t>fok</w:t>
      </w:r>
      <w:r w:rsidR="00960226">
        <w:rPr>
          <w:rFonts w:ascii="Times New Roman" w:hAnsi="Times New Roman" w:cs="Times New Roman"/>
          <w:color w:val="000000" w:themeColor="text1"/>
          <w:sz w:val="24"/>
          <w:szCs w:val="24"/>
          <w:shd w:val="clear" w:color="auto" w:fill="FFFFFF"/>
          <w:lang w:val="en-US"/>
        </w:rPr>
        <w:t>us yang penting dalam rangka memperbaiki kesejahteraan rakyat. Pengembangan suatu daerah dapat disesuaikan oleh pemerintah daerah.</w:t>
      </w:r>
    </w:p>
    <w:p w:rsidR="00960226" w:rsidRPr="00960226" w:rsidRDefault="00960226" w:rsidP="00960226">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Pemerintah daerah merupakan suatu lembaga yang menjalankan roda pemerintahan yang mana sumber kepercayaannya berasal dari masyarakat. Kepercayaan masyarakat yang diberikan kepada pemerintah harus diimbangi dengan kinerja yang baik.</w:t>
      </w:r>
      <w:r>
        <w:rPr>
          <w:rFonts w:asciiTheme="majorBidi" w:hAnsiTheme="majorBidi" w:cstheme="majorBidi"/>
          <w:sz w:val="24"/>
          <w:szCs w:val="24"/>
          <w:lang w:val="en-US"/>
        </w:rPr>
        <w:t xml:space="preserve"> </w:t>
      </w:r>
      <w:r>
        <w:rPr>
          <w:rFonts w:asciiTheme="majorBidi" w:hAnsiTheme="majorBidi" w:cstheme="majorBidi"/>
          <w:sz w:val="24"/>
          <w:szCs w:val="24"/>
        </w:rPr>
        <w:t xml:space="preserve">Sebagai organisasi sektor publik kinerja pemerintah daerah dituntut untuk memiliki orientasi kepada kepentingan masyarakat, memberikan pelayanan terbaik secara transparan dan berkualitas, tanggap dengan lingkungannya serta adanya pembagian tugas yang baik dan merata pada pemerintahan tersebut guna mewujudkan kesejahteraan masyarakat </w:t>
      </w:r>
      <w:r w:rsidR="008B5F1D">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"Hartajunika", "given" : "Gerry", "non-dropping-particle" : "", "parse-names" : false, "suffix" : "" }, { "dropping-particle" : "", "family" : "Sujana", "given" : "Edy", "non-dropping-particle" : "", "parse-names" : false, "suffix" : "" }, { "dropping-particle" : "", "family" : "Atmadja", "given" : "Anantawikrama Tungga", "non-dropping-particle" : "", "parse-names" : false, "suffix" : "" } ], "container-title" : "e-Jurnal S1 Ak Universitas Pendidikan Ganesha", "id" : "ITEM-1", "issue" : "1", "issued" : { "date-parts" : [ [ "2015" ] ] }, "page" : "1-12", "title" : "Faktor-Faktor Yang Mempengaruhi Kinerja Organisasi Sektor Publik", "type" : "article-journal", "volume" : "3" }, "uris" : [ "http://www.mendeley.com/documents/?uuid=f118de2c-abd7-4915-b16f-3005ba62c34d" ] } ], "mendeley" : { "formattedCitation" : "(Hartajunika, Sujana dan Atmadja, 2015)", "plainTextFormattedCitation" : "(Hartajunika, Sujana dan Atmadja, 2015)", "previouslyFormattedCitation" : "(Hartajunika, Sujana dan Atmadja, 2015)" }, "properties" : {  }, "schema" : "https://github.com/citation-style-language/schema/raw/master/csl-citation.json" }</w:instrText>
      </w:r>
      <w:r w:rsidR="008B5F1D">
        <w:rPr>
          <w:rFonts w:asciiTheme="majorBidi" w:hAnsiTheme="majorBidi" w:cstheme="majorBidi"/>
          <w:sz w:val="24"/>
          <w:szCs w:val="24"/>
        </w:rPr>
        <w:fldChar w:fldCharType="separate"/>
      </w:r>
      <w:r w:rsidRPr="00861DA2">
        <w:rPr>
          <w:rFonts w:asciiTheme="majorBidi" w:hAnsiTheme="majorBidi" w:cstheme="majorBidi"/>
          <w:noProof/>
          <w:sz w:val="24"/>
          <w:szCs w:val="24"/>
        </w:rPr>
        <w:t>(Hartajunika, Sujana dan Atmadja, 2015)</w:t>
      </w:r>
      <w:r w:rsidR="008B5F1D">
        <w:rPr>
          <w:rFonts w:asciiTheme="majorBidi" w:hAnsiTheme="majorBidi" w:cstheme="majorBidi"/>
          <w:sz w:val="24"/>
          <w:szCs w:val="24"/>
        </w:rPr>
        <w:fldChar w:fldCharType="end"/>
      </w:r>
      <w:r>
        <w:rPr>
          <w:rFonts w:asciiTheme="majorBidi" w:hAnsiTheme="majorBidi" w:cstheme="majorBidi"/>
          <w:sz w:val="24"/>
          <w:szCs w:val="24"/>
        </w:rPr>
        <w:t xml:space="preserve">. </w:t>
      </w:r>
      <w:r w:rsidR="0065659D">
        <w:rPr>
          <w:rFonts w:ascii="Times New Roman" w:hAnsi="Times New Roman" w:cs="Times New Roman"/>
          <w:color w:val="000000" w:themeColor="text1"/>
          <w:sz w:val="24"/>
          <w:szCs w:val="24"/>
          <w:shd w:val="clear" w:color="auto" w:fill="FFFFFF"/>
        </w:rPr>
        <w:t>Dalam upaya penc</w:t>
      </w:r>
      <w:r w:rsidR="001065D0">
        <w:rPr>
          <w:rFonts w:ascii="Times New Roman" w:hAnsi="Times New Roman" w:cs="Times New Roman"/>
          <w:color w:val="000000" w:themeColor="text1"/>
          <w:sz w:val="24"/>
          <w:szCs w:val="24"/>
          <w:shd w:val="clear" w:color="auto" w:fill="FFFFFF"/>
        </w:rPr>
        <w:t>apaian daerah yang otonom  maka</w:t>
      </w:r>
      <w:r w:rsidR="001065D0">
        <w:rPr>
          <w:rFonts w:ascii="Times New Roman" w:hAnsi="Times New Roman" w:cs="Times New Roman"/>
          <w:color w:val="000000" w:themeColor="text1"/>
          <w:sz w:val="24"/>
          <w:szCs w:val="24"/>
          <w:shd w:val="clear" w:color="auto" w:fill="FFFFFF"/>
          <w:lang w:val="en-US"/>
        </w:rPr>
        <w:t xml:space="preserve"> </w:t>
      </w:r>
      <w:r w:rsidR="0065659D">
        <w:rPr>
          <w:rFonts w:ascii="Times New Roman" w:hAnsi="Times New Roman" w:cs="Times New Roman"/>
          <w:color w:val="000000" w:themeColor="text1"/>
          <w:sz w:val="24"/>
          <w:szCs w:val="24"/>
          <w:shd w:val="clear" w:color="auto" w:fill="FFFFFF"/>
        </w:rPr>
        <w:t>organisasi pemerintah di d</w:t>
      </w:r>
      <w:r w:rsidR="001065D0">
        <w:rPr>
          <w:rFonts w:ascii="Times New Roman" w:hAnsi="Times New Roman" w:cs="Times New Roman"/>
          <w:color w:val="000000" w:themeColor="text1"/>
          <w:sz w:val="24"/>
          <w:szCs w:val="24"/>
          <w:shd w:val="clear" w:color="auto" w:fill="FFFFFF"/>
        </w:rPr>
        <w:t>aerah pada prinsipnya di bentuk</w:t>
      </w:r>
      <w:r w:rsidR="001065D0">
        <w:rPr>
          <w:rFonts w:ascii="Times New Roman" w:hAnsi="Times New Roman" w:cs="Times New Roman"/>
          <w:color w:val="000000" w:themeColor="text1"/>
          <w:sz w:val="24"/>
          <w:szCs w:val="24"/>
          <w:shd w:val="clear" w:color="auto" w:fill="FFFFFF"/>
          <w:lang w:val="en-US"/>
        </w:rPr>
        <w:t xml:space="preserve"> </w:t>
      </w:r>
      <w:r w:rsidR="0065659D">
        <w:rPr>
          <w:rFonts w:ascii="Times New Roman" w:hAnsi="Times New Roman" w:cs="Times New Roman"/>
          <w:color w:val="000000" w:themeColor="text1"/>
          <w:sz w:val="24"/>
          <w:szCs w:val="24"/>
          <w:shd w:val="clear" w:color="auto" w:fill="FFFFFF"/>
        </w:rPr>
        <w:t xml:space="preserve">untuk mengakomodasikan kewenangan yang dilaksanakan oleh daerah.    </w:t>
      </w:r>
    </w:p>
    <w:p w:rsidR="006D2DD5" w:rsidRPr="00776A27" w:rsidRDefault="00173818" w:rsidP="00B43F35">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ab/>
      </w:r>
      <w:r w:rsidR="009C0106">
        <w:rPr>
          <w:rFonts w:asciiTheme="majorBidi" w:hAnsiTheme="majorBidi" w:cstheme="majorBidi"/>
          <w:sz w:val="24"/>
          <w:szCs w:val="24"/>
        </w:rPr>
        <w:t>Organisasi atau lembaga pada Pemerintah Daerah yang bertanggung jawab kepada</w:t>
      </w:r>
      <w:r w:rsidR="006A70A1">
        <w:rPr>
          <w:rFonts w:asciiTheme="majorBidi" w:hAnsiTheme="majorBidi" w:cstheme="majorBidi"/>
          <w:sz w:val="24"/>
          <w:szCs w:val="24"/>
        </w:rPr>
        <w:t xml:space="preserve"> Kepala Daerah dalam rangka p</w:t>
      </w:r>
      <w:r w:rsidR="009C0106">
        <w:rPr>
          <w:rFonts w:asciiTheme="majorBidi" w:hAnsiTheme="majorBidi" w:cstheme="majorBidi"/>
          <w:sz w:val="24"/>
          <w:szCs w:val="24"/>
        </w:rPr>
        <w:t xml:space="preserve">enyelenggaraan </w:t>
      </w:r>
      <w:r w:rsidR="006A70A1">
        <w:rPr>
          <w:rFonts w:asciiTheme="majorBidi" w:hAnsiTheme="majorBidi" w:cstheme="majorBidi"/>
          <w:sz w:val="24"/>
          <w:szCs w:val="24"/>
        </w:rPr>
        <w:t>pemerintahan di daerah merupakan Perangkat Daerah atau Organisasi Pemerintah Daerah (OPD)</w:t>
      </w:r>
      <w:r w:rsidR="00723082">
        <w:rPr>
          <w:rFonts w:asciiTheme="majorBidi" w:hAnsiTheme="majorBidi" w:cstheme="majorBidi"/>
          <w:sz w:val="24"/>
          <w:szCs w:val="24"/>
        </w:rPr>
        <w:t xml:space="preserve"> yang </w:t>
      </w:r>
      <w:r w:rsidR="00723082">
        <w:rPr>
          <w:rFonts w:asciiTheme="majorBidi" w:hAnsiTheme="majorBidi" w:cstheme="majorBidi"/>
          <w:sz w:val="24"/>
          <w:szCs w:val="24"/>
        </w:rPr>
        <w:lastRenderedPageBreak/>
        <w:t>mana Perangakat D</w:t>
      </w:r>
      <w:r w:rsidR="00723082">
        <w:rPr>
          <w:rFonts w:asciiTheme="majorBidi" w:hAnsiTheme="majorBidi" w:cstheme="majorBidi"/>
          <w:sz w:val="24"/>
          <w:szCs w:val="24"/>
          <w:lang w:val="en-US"/>
        </w:rPr>
        <w:t>aer</w:t>
      </w:r>
      <w:r w:rsidR="008A11AB">
        <w:rPr>
          <w:rFonts w:asciiTheme="majorBidi" w:hAnsiTheme="majorBidi" w:cstheme="majorBidi"/>
          <w:sz w:val="24"/>
          <w:szCs w:val="24"/>
        </w:rPr>
        <w:t>ah</w:t>
      </w:r>
      <w:r w:rsidR="00723082">
        <w:rPr>
          <w:rFonts w:asciiTheme="majorBidi" w:hAnsiTheme="majorBidi" w:cstheme="majorBidi"/>
          <w:sz w:val="24"/>
          <w:szCs w:val="24"/>
        </w:rPr>
        <w:t xml:space="preserve"> dibentuk oleh masing–masing </w:t>
      </w:r>
      <w:r w:rsidR="00723082">
        <w:rPr>
          <w:rFonts w:asciiTheme="majorBidi" w:hAnsiTheme="majorBidi" w:cstheme="majorBidi"/>
          <w:sz w:val="24"/>
          <w:szCs w:val="24"/>
          <w:lang w:val="en-US"/>
        </w:rPr>
        <w:t>d</w:t>
      </w:r>
      <w:r w:rsidR="008A11AB">
        <w:rPr>
          <w:rFonts w:asciiTheme="majorBidi" w:hAnsiTheme="majorBidi" w:cstheme="majorBidi"/>
          <w:sz w:val="24"/>
          <w:szCs w:val="24"/>
        </w:rPr>
        <w:t>aerah berdasarkan pertimbangan karakteristik, potensi, dan kebutuhan Daerah.</w:t>
      </w:r>
      <w:r w:rsidR="00776A27">
        <w:rPr>
          <w:rFonts w:asciiTheme="majorBidi" w:hAnsiTheme="majorBidi" w:cstheme="majorBidi"/>
          <w:sz w:val="24"/>
          <w:szCs w:val="24"/>
          <w:lang w:val="en-US"/>
        </w:rPr>
        <w:t xml:space="preserve"> </w:t>
      </w:r>
      <w:r w:rsidR="001D76DD">
        <w:rPr>
          <w:rFonts w:asciiTheme="majorBidi" w:hAnsiTheme="majorBidi" w:cstheme="majorBidi"/>
          <w:sz w:val="24"/>
          <w:szCs w:val="24"/>
          <w:lang w:val="en-US"/>
        </w:rPr>
        <w:t>Organisasi perangkat daerah memiliki kegiatan atau program yang tertuang dalam Anggaran Pendapatan Dan Belanja Daerah (APBD). Tingkat pencapaian pelaksanaan suatu kegiatan atau program dapat diukur melalui kinerja.</w:t>
      </w:r>
    </w:p>
    <w:p w:rsidR="00A26A46" w:rsidRPr="001D76DD" w:rsidRDefault="006D2DD5" w:rsidP="001D76DD">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50707B">
        <w:rPr>
          <w:rFonts w:asciiTheme="majorBidi" w:hAnsiTheme="majorBidi" w:cstheme="majorBidi"/>
          <w:sz w:val="24"/>
          <w:szCs w:val="24"/>
        </w:rPr>
        <w:t xml:space="preserve"> </w:t>
      </w:r>
      <w:r w:rsidR="00A26A46">
        <w:rPr>
          <w:rFonts w:ascii="Times New Roman" w:eastAsia="Times New Roman" w:hAnsi="Times New Roman" w:cs="Times New Roman"/>
          <w:color w:val="000000" w:themeColor="text1"/>
          <w:spacing w:val="-1"/>
          <w:sz w:val="24"/>
          <w:szCs w:val="24"/>
        </w:rPr>
        <w:t>Menurut Peraturan Presiden Republik Indonesia Nomor 29 Tahun 2014 Tentang Sistem Akuntabilitas Kinerja Instansi Pemerintah, kinerja adalah keluaran/hasil dari kegiatan/ program yang telah atau hendak dicapai sehubungan dengan penggunaan anggaran dengan kuantitas dan kualitas terukur.</w:t>
      </w:r>
      <w:r w:rsidR="001D76DD">
        <w:rPr>
          <w:rFonts w:ascii="Times New Roman" w:eastAsia="Times New Roman" w:hAnsi="Times New Roman" w:cs="Times New Roman"/>
          <w:color w:val="000000" w:themeColor="text1"/>
          <w:spacing w:val="-1"/>
          <w:sz w:val="24"/>
          <w:szCs w:val="24"/>
          <w:lang w:val="en-US"/>
        </w:rPr>
        <w:t xml:space="preserve"> </w:t>
      </w:r>
      <w:r w:rsidR="001D76DD">
        <w:rPr>
          <w:rFonts w:asciiTheme="majorBidi" w:hAnsiTheme="majorBidi" w:cstheme="majorBidi"/>
          <w:sz w:val="24"/>
          <w:szCs w:val="24"/>
        </w:rPr>
        <w:t>Kinerja</w:t>
      </w:r>
      <w:r w:rsidR="001D76DD">
        <w:rPr>
          <w:rFonts w:asciiTheme="majorBidi" w:hAnsiTheme="majorBidi" w:cstheme="majorBidi"/>
          <w:sz w:val="24"/>
          <w:szCs w:val="24"/>
          <w:lang w:val="en-US"/>
        </w:rPr>
        <w:t xml:space="preserve"> adalah hal yang terpenting bagi suatu organisasi sektor publik khususnya pemerintahan karena kinerja sektor publik sebagian besar dipengaruhi oleh kineja aparat atau manajerial</w:t>
      </w:r>
      <w:r w:rsidR="00435BBB">
        <w:rPr>
          <w:rFonts w:asciiTheme="majorBidi" w:hAnsiTheme="majorBidi" w:cstheme="majorBidi"/>
          <w:sz w:val="24"/>
          <w:szCs w:val="24"/>
          <w:lang w:val="en-US"/>
        </w:rPr>
        <w:t>.</w:t>
      </w:r>
    </w:p>
    <w:p w:rsidR="00551A5D" w:rsidRPr="005A3222" w:rsidRDefault="00A26A46" w:rsidP="005A3222">
      <w:pPr>
        <w:pStyle w:val="ListParagraph"/>
        <w:spacing w:after="0" w:line="360" w:lineRule="auto"/>
        <w:ind w:left="0" w:firstLine="634"/>
        <w:jc w:val="both"/>
        <w:rPr>
          <w:rFonts w:ascii="Times New Roman" w:eastAsia="Times New Roman" w:hAnsi="Times New Roman" w:cs="Times New Roman"/>
          <w:color w:val="000000" w:themeColor="text1"/>
          <w:spacing w:val="-1"/>
          <w:sz w:val="24"/>
          <w:szCs w:val="24"/>
          <w:lang w:val="en-US"/>
        </w:rPr>
      </w:pPr>
      <w:r>
        <w:rPr>
          <w:rFonts w:asciiTheme="majorBidi" w:hAnsiTheme="majorBidi" w:cstheme="majorBidi"/>
          <w:sz w:val="24"/>
          <w:szCs w:val="24"/>
          <w:lang w:val="en-US"/>
        </w:rPr>
        <w:tab/>
      </w:r>
      <w:r>
        <w:rPr>
          <w:rFonts w:asciiTheme="majorBidi" w:hAnsiTheme="majorBidi" w:cstheme="majorBidi"/>
          <w:sz w:val="24"/>
          <w:szCs w:val="24"/>
        </w:rPr>
        <w:t xml:space="preserve">Menurut Putra </w:t>
      </w:r>
      <w:r>
        <w:rPr>
          <w:rFonts w:asciiTheme="majorBidi" w:hAnsiTheme="majorBidi" w:cstheme="majorBidi"/>
          <w:sz w:val="24"/>
          <w:szCs w:val="24"/>
          <w:lang w:val="en-US"/>
        </w:rPr>
        <w:t>(</w:t>
      </w:r>
      <w:r>
        <w:rPr>
          <w:rFonts w:asciiTheme="majorBidi" w:hAnsiTheme="majorBidi" w:cstheme="majorBidi"/>
          <w:sz w:val="24"/>
          <w:szCs w:val="24"/>
        </w:rPr>
        <w:t>2013) kinerja manajerial adalah kinerja para individu anggota organisasi dalam kegiatan manajerial</w:t>
      </w:r>
      <w:r>
        <w:rPr>
          <w:rFonts w:asciiTheme="majorBidi" w:hAnsiTheme="majorBidi" w:cstheme="majorBidi"/>
          <w:sz w:val="24"/>
          <w:szCs w:val="24"/>
          <w:lang w:val="en-US"/>
        </w:rPr>
        <w:t>.</w:t>
      </w:r>
      <w:r>
        <w:rPr>
          <w:rFonts w:asciiTheme="majorBidi" w:hAnsiTheme="majorBidi" w:cstheme="majorBidi"/>
          <w:sz w:val="24"/>
          <w:szCs w:val="24"/>
        </w:rPr>
        <w:t xml:space="preserve"> </w:t>
      </w:r>
      <w:r>
        <w:rPr>
          <w:rFonts w:ascii="Times New Roman" w:eastAsia="Times New Roman" w:hAnsi="Times New Roman" w:cs="Times New Roman"/>
          <w:color w:val="000000" w:themeColor="text1"/>
          <w:spacing w:val="-1"/>
          <w:sz w:val="24"/>
          <w:szCs w:val="24"/>
        </w:rPr>
        <w:t>Kinerja manajerial organisasi perangkat daerah merupakan gambaran  mengenai tingkat pencapaian sasaran atau tujuan sebagai penjabaran dari visi, misi dan  strategi  instansi pemerintah daerah yang mengindikasi tingkat keberhasilan atau kegagalan pelaksanaan kegiatan-kegiatan sesuai dengan tugas pokok dan fungsi aparatur pemerintah.</w:t>
      </w:r>
      <w:r w:rsidR="005A3222">
        <w:rPr>
          <w:rFonts w:ascii="Times New Roman" w:eastAsia="Times New Roman" w:hAnsi="Times New Roman" w:cs="Times New Roman"/>
          <w:color w:val="000000" w:themeColor="text1"/>
          <w:spacing w:val="-1"/>
          <w:sz w:val="24"/>
          <w:szCs w:val="24"/>
          <w:lang w:val="en-US"/>
        </w:rPr>
        <w:t xml:space="preserve"> </w:t>
      </w:r>
      <w:r w:rsidR="005A3222">
        <w:rPr>
          <w:rFonts w:ascii="Times New Roman" w:eastAsia="Times New Roman" w:hAnsi="Times New Roman" w:cs="Times New Roman"/>
          <w:color w:val="000000" w:themeColor="text1"/>
          <w:spacing w:val="-1"/>
          <w:sz w:val="24"/>
          <w:szCs w:val="24"/>
        </w:rPr>
        <w:t>Untuk mengetahui apakah kinerja tersebut efektif atau tidak efektif perlunya dilakukan perbandingan terhadap anggaran.  Anggaran merupakan titik awal</w:t>
      </w:r>
      <w:r w:rsidR="005A3222">
        <w:rPr>
          <w:rFonts w:ascii="Times New Roman" w:eastAsia="Times New Roman" w:hAnsi="Times New Roman" w:cs="Times New Roman"/>
          <w:color w:val="000000" w:themeColor="text1"/>
          <w:spacing w:val="-1"/>
          <w:sz w:val="24"/>
          <w:szCs w:val="24"/>
          <w:lang w:val="en-US"/>
        </w:rPr>
        <w:t xml:space="preserve"> yang baik dalam menilai kinerja dan akuntabilitas publik</w:t>
      </w:r>
      <w:r w:rsidR="003056D8">
        <w:rPr>
          <w:rFonts w:ascii="Times New Roman" w:eastAsia="Times New Roman" w:hAnsi="Times New Roman" w:cs="Times New Roman"/>
          <w:sz w:val="24"/>
          <w:szCs w:val="24"/>
          <w:lang w:val="en-US"/>
        </w:rPr>
        <w:t xml:space="preserve"> (</w:t>
      </w:r>
      <w:r w:rsidR="00024B55">
        <w:rPr>
          <w:rFonts w:ascii="Times New Roman" w:eastAsia="Times New Roman" w:hAnsi="Times New Roman" w:cs="Times New Roman"/>
          <w:spacing w:val="1"/>
          <w:sz w:val="24"/>
          <w:szCs w:val="24"/>
          <w:lang w:val="en-US"/>
        </w:rPr>
        <w:t>Solina</w:t>
      </w:r>
      <w:r w:rsidR="003056D8">
        <w:rPr>
          <w:rFonts w:ascii="Times New Roman" w:eastAsia="Times New Roman" w:hAnsi="Times New Roman" w:cs="Times New Roman"/>
          <w:spacing w:val="1"/>
          <w:sz w:val="24"/>
          <w:szCs w:val="24"/>
          <w:lang w:val="en-US"/>
        </w:rPr>
        <w:t>,</w:t>
      </w:r>
      <w:r w:rsidR="00024B55">
        <w:rPr>
          <w:rFonts w:ascii="Times New Roman" w:eastAsia="Times New Roman" w:hAnsi="Times New Roman" w:cs="Times New Roman"/>
          <w:spacing w:val="1"/>
          <w:sz w:val="24"/>
          <w:szCs w:val="24"/>
        </w:rPr>
        <w:t xml:space="preserve"> 201</w:t>
      </w:r>
      <w:r w:rsidR="00024B55">
        <w:rPr>
          <w:rFonts w:ascii="Times New Roman" w:eastAsia="Times New Roman" w:hAnsi="Times New Roman" w:cs="Times New Roman"/>
          <w:spacing w:val="1"/>
          <w:sz w:val="24"/>
          <w:szCs w:val="24"/>
          <w:lang w:val="en-US"/>
        </w:rPr>
        <w:t>4</w:t>
      </w:r>
      <w:r w:rsidR="003056D8">
        <w:rPr>
          <w:rFonts w:ascii="Times New Roman" w:eastAsia="Times New Roman" w:hAnsi="Times New Roman" w:cs="Times New Roman"/>
          <w:spacing w:val="1"/>
          <w:sz w:val="24"/>
          <w:szCs w:val="24"/>
        </w:rPr>
        <w:t>)</w:t>
      </w:r>
      <w:r w:rsidR="003056D8">
        <w:rPr>
          <w:rFonts w:ascii="Times New Roman" w:eastAsia="Times New Roman" w:hAnsi="Times New Roman" w:cs="Times New Roman"/>
          <w:sz w:val="24"/>
          <w:szCs w:val="24"/>
        </w:rPr>
        <w:t xml:space="preserve">. </w:t>
      </w:r>
    </w:p>
    <w:p w:rsidR="008C2FF8" w:rsidRDefault="00A96D87" w:rsidP="00A213F5">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3056D8">
        <w:rPr>
          <w:rFonts w:asciiTheme="majorBidi" w:hAnsiTheme="majorBidi" w:cstheme="majorBidi"/>
          <w:sz w:val="24"/>
          <w:szCs w:val="24"/>
          <w:lang w:val="en-US"/>
        </w:rPr>
        <w:t xml:space="preserve">Menurut </w:t>
      </w:r>
      <w:r w:rsidR="003056D8">
        <w:rPr>
          <w:rFonts w:asciiTheme="majorBidi" w:hAnsiTheme="majorBidi" w:cstheme="majorBidi"/>
          <w:sz w:val="24"/>
          <w:szCs w:val="24"/>
        </w:rPr>
        <w:t>Mardiasmo</w:t>
      </w:r>
      <w:r w:rsidR="004D2B81">
        <w:rPr>
          <w:rFonts w:asciiTheme="majorBidi" w:hAnsiTheme="majorBidi" w:cstheme="majorBidi"/>
          <w:sz w:val="24"/>
          <w:szCs w:val="24"/>
        </w:rPr>
        <w:t xml:space="preserve"> </w:t>
      </w:r>
      <w:r w:rsidR="003056D8">
        <w:rPr>
          <w:rFonts w:asciiTheme="majorBidi" w:hAnsiTheme="majorBidi" w:cstheme="majorBidi"/>
          <w:sz w:val="24"/>
          <w:szCs w:val="24"/>
          <w:lang w:val="en-US"/>
        </w:rPr>
        <w:t>(</w:t>
      </w:r>
      <w:r w:rsidR="004D2B81">
        <w:rPr>
          <w:rFonts w:asciiTheme="majorBidi" w:hAnsiTheme="majorBidi" w:cstheme="majorBidi"/>
          <w:sz w:val="24"/>
          <w:szCs w:val="24"/>
        </w:rPr>
        <w:t>2009</w:t>
      </w:r>
      <w:r w:rsidR="00570915">
        <w:rPr>
          <w:rFonts w:asciiTheme="majorBidi" w:hAnsiTheme="majorBidi" w:cstheme="majorBidi"/>
          <w:sz w:val="24"/>
          <w:szCs w:val="24"/>
        </w:rPr>
        <w:t>: 20</w:t>
      </w:r>
      <w:r w:rsidR="004D2B81">
        <w:rPr>
          <w:rFonts w:asciiTheme="majorBidi" w:hAnsiTheme="majorBidi" w:cstheme="majorBidi"/>
          <w:sz w:val="24"/>
          <w:szCs w:val="24"/>
        </w:rPr>
        <w:t>) a</w:t>
      </w:r>
      <w:r w:rsidR="00936712">
        <w:rPr>
          <w:rFonts w:asciiTheme="majorBidi" w:hAnsiTheme="majorBidi" w:cstheme="majorBidi"/>
          <w:sz w:val="24"/>
          <w:szCs w:val="24"/>
        </w:rPr>
        <w:t>kuntabilitas publik adalah kewajiban pihak pe</w:t>
      </w:r>
      <w:r w:rsidR="006022A0">
        <w:rPr>
          <w:rFonts w:asciiTheme="majorBidi" w:hAnsiTheme="majorBidi" w:cstheme="majorBidi"/>
          <w:sz w:val="24"/>
          <w:szCs w:val="24"/>
        </w:rPr>
        <w:t xml:space="preserve">megang amanah untuk memberikan pertanggungjawaban, </w:t>
      </w:r>
      <w:r w:rsidR="00CB45D9">
        <w:rPr>
          <w:rFonts w:asciiTheme="majorBidi" w:hAnsiTheme="majorBidi" w:cstheme="majorBidi"/>
          <w:sz w:val="24"/>
          <w:szCs w:val="24"/>
        </w:rPr>
        <w:t xml:space="preserve">menyajikan, melaporkan, dan mengungkapkan segala aktivitas dan kegiatan yang menjadi tanggung jawabnya kepada pihak pemberi amanah yang </w:t>
      </w:r>
      <w:r w:rsidR="004D2B81">
        <w:rPr>
          <w:rFonts w:asciiTheme="majorBidi" w:hAnsiTheme="majorBidi" w:cstheme="majorBidi"/>
          <w:sz w:val="24"/>
          <w:szCs w:val="24"/>
        </w:rPr>
        <w:t>memiliki hak dan kewenangan untuk meminta pertanggungjawaban tersebut.</w:t>
      </w:r>
      <w:r w:rsidR="00F328D3">
        <w:rPr>
          <w:rFonts w:asciiTheme="majorBidi" w:hAnsiTheme="majorBidi" w:cstheme="majorBidi"/>
          <w:sz w:val="24"/>
          <w:szCs w:val="24"/>
          <w:lang w:val="en-US"/>
        </w:rPr>
        <w:t xml:space="preserve"> </w:t>
      </w:r>
      <w:r w:rsidR="008C2FF8">
        <w:rPr>
          <w:rFonts w:asciiTheme="majorBidi" w:hAnsiTheme="majorBidi" w:cstheme="majorBidi"/>
          <w:sz w:val="24"/>
          <w:szCs w:val="24"/>
        </w:rPr>
        <w:t xml:space="preserve">Akuntabilitas </w:t>
      </w:r>
      <w:r w:rsidR="00C21F87">
        <w:rPr>
          <w:rFonts w:asciiTheme="majorBidi" w:hAnsiTheme="majorBidi" w:cstheme="majorBidi"/>
          <w:sz w:val="24"/>
          <w:szCs w:val="24"/>
        </w:rPr>
        <w:t xml:space="preserve">dapat dilihat </w:t>
      </w:r>
      <w:r w:rsidR="008008BB">
        <w:rPr>
          <w:rFonts w:asciiTheme="majorBidi" w:hAnsiTheme="majorBidi" w:cstheme="majorBidi"/>
          <w:sz w:val="24"/>
          <w:szCs w:val="24"/>
        </w:rPr>
        <w:t>dari proses penganggaran yang dimulai dari perencanaan, penyusunan, pelaksanaan dan pertangg</w:t>
      </w:r>
      <w:r w:rsidR="000A7643">
        <w:rPr>
          <w:rFonts w:asciiTheme="majorBidi" w:hAnsiTheme="majorBidi" w:cstheme="majorBidi"/>
          <w:sz w:val="24"/>
          <w:szCs w:val="24"/>
        </w:rPr>
        <w:t>ungjawaban atas anggaran</w:t>
      </w:r>
      <w:r w:rsidR="00A213F5">
        <w:rPr>
          <w:rFonts w:asciiTheme="majorBidi" w:hAnsiTheme="majorBidi" w:cstheme="majorBidi"/>
          <w:sz w:val="24"/>
          <w:szCs w:val="24"/>
        </w:rPr>
        <w:t xml:space="preserve">. </w:t>
      </w:r>
      <w:r w:rsidR="00F91DD9">
        <w:rPr>
          <w:rFonts w:asciiTheme="majorBidi" w:hAnsiTheme="majorBidi" w:cstheme="majorBidi"/>
          <w:sz w:val="24"/>
          <w:szCs w:val="24"/>
        </w:rPr>
        <w:t xml:space="preserve">Akuntabilitas juga dapat diartikan sebagai prinsip pertanggungjawaban </w:t>
      </w:r>
      <w:r w:rsidR="00BF048C">
        <w:rPr>
          <w:rFonts w:asciiTheme="majorBidi" w:hAnsiTheme="majorBidi" w:cstheme="majorBidi"/>
          <w:sz w:val="24"/>
          <w:szCs w:val="24"/>
        </w:rPr>
        <w:t xml:space="preserve">yang dimulai dari </w:t>
      </w:r>
      <w:r w:rsidR="00A213F5">
        <w:rPr>
          <w:rFonts w:asciiTheme="majorBidi" w:hAnsiTheme="majorBidi" w:cstheme="majorBidi"/>
          <w:sz w:val="24"/>
          <w:szCs w:val="24"/>
        </w:rPr>
        <w:t xml:space="preserve">proses awal sampai dengan pelaksanaan </w:t>
      </w:r>
      <w:r w:rsidR="0083108E">
        <w:rPr>
          <w:rFonts w:asciiTheme="majorBidi" w:hAnsiTheme="majorBidi" w:cstheme="majorBidi"/>
          <w:sz w:val="24"/>
          <w:szCs w:val="24"/>
        </w:rPr>
        <w:t xml:space="preserve">harus benar-benar dapat dilaporkan dan dipertanggungjawabkan kepada DPRD dan publik. </w:t>
      </w:r>
      <w:r w:rsidR="0094417B">
        <w:rPr>
          <w:rFonts w:asciiTheme="majorBidi" w:hAnsiTheme="majorBidi" w:cstheme="majorBidi"/>
          <w:sz w:val="24"/>
          <w:szCs w:val="24"/>
        </w:rPr>
        <w:t xml:space="preserve">Publik memiliki hak </w:t>
      </w:r>
      <w:r w:rsidR="00F91491">
        <w:rPr>
          <w:rFonts w:asciiTheme="majorBidi" w:hAnsiTheme="majorBidi" w:cstheme="majorBidi"/>
          <w:sz w:val="24"/>
          <w:szCs w:val="24"/>
        </w:rPr>
        <w:t xml:space="preserve">dan </w:t>
      </w:r>
      <w:r w:rsidR="00F91491">
        <w:rPr>
          <w:rFonts w:asciiTheme="majorBidi" w:hAnsiTheme="majorBidi" w:cstheme="majorBidi"/>
          <w:sz w:val="24"/>
          <w:szCs w:val="24"/>
        </w:rPr>
        <w:lastRenderedPageBreak/>
        <w:t xml:space="preserve">kepentingan atas segala pengguna dana publik dan berhak untuk meminta pertanggungjawaban </w:t>
      </w:r>
      <w:r w:rsidR="00F91DD9">
        <w:rPr>
          <w:rFonts w:asciiTheme="majorBidi" w:hAnsiTheme="majorBidi" w:cstheme="majorBidi"/>
          <w:sz w:val="24"/>
          <w:szCs w:val="24"/>
        </w:rPr>
        <w:t>atas suatu rencana dan pelaksanaan anggaran</w:t>
      </w:r>
      <w:r w:rsidR="000A7643">
        <w:rPr>
          <w:rFonts w:asciiTheme="majorBidi" w:hAnsiTheme="majorBidi" w:cstheme="majorBidi"/>
          <w:sz w:val="24"/>
          <w:szCs w:val="24"/>
        </w:rPr>
        <w:t xml:space="preserve"> tersebut</w:t>
      </w:r>
      <w:r w:rsidR="00F328D3">
        <w:rPr>
          <w:rFonts w:asciiTheme="majorBidi" w:hAnsiTheme="majorBidi" w:cstheme="majorBidi"/>
          <w:sz w:val="24"/>
          <w:szCs w:val="24"/>
          <w:lang w:val="en-US"/>
        </w:rPr>
        <w:t xml:space="preserve"> (Amril, 2014)</w:t>
      </w:r>
      <w:r w:rsidR="00F91DD9">
        <w:rPr>
          <w:rFonts w:asciiTheme="majorBidi" w:hAnsiTheme="majorBidi" w:cstheme="majorBidi"/>
          <w:sz w:val="24"/>
          <w:szCs w:val="24"/>
        </w:rPr>
        <w:t xml:space="preserve">. </w:t>
      </w:r>
      <w:r w:rsidR="007F158E">
        <w:rPr>
          <w:rFonts w:asciiTheme="majorBidi" w:hAnsiTheme="majorBidi" w:cstheme="majorBidi"/>
          <w:sz w:val="24"/>
          <w:szCs w:val="24"/>
        </w:rPr>
        <w:t xml:space="preserve"> </w:t>
      </w:r>
    </w:p>
    <w:p w:rsidR="00387D06" w:rsidRDefault="006C5B58" w:rsidP="00835C7A">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ab/>
      </w:r>
      <w:r w:rsidR="00692554">
        <w:rPr>
          <w:rFonts w:asciiTheme="majorBidi" w:hAnsiTheme="majorBidi" w:cstheme="majorBidi"/>
          <w:sz w:val="24"/>
          <w:szCs w:val="24"/>
        </w:rPr>
        <w:t xml:space="preserve"> </w:t>
      </w:r>
      <w:r w:rsidR="008D550E">
        <w:rPr>
          <w:rFonts w:asciiTheme="majorBidi" w:hAnsiTheme="majorBidi" w:cstheme="majorBidi"/>
          <w:sz w:val="24"/>
          <w:szCs w:val="24"/>
        </w:rPr>
        <w:t>Disamping akuntabilitas publik, kejelasan sasaran anggaran juga dapat meningkatkan kinerja manajerial pada organisasi perangkat daerah.</w:t>
      </w:r>
      <w:r w:rsidR="00F328D3">
        <w:rPr>
          <w:rFonts w:asciiTheme="majorBidi" w:hAnsiTheme="majorBidi" w:cstheme="majorBidi"/>
          <w:sz w:val="24"/>
          <w:szCs w:val="24"/>
        </w:rPr>
        <w:t xml:space="preserve"> Menurut </w:t>
      </w:r>
      <w:r w:rsidR="00213377">
        <w:rPr>
          <w:rFonts w:asciiTheme="majorBidi" w:hAnsiTheme="majorBidi" w:cstheme="majorBidi"/>
          <w:sz w:val="24"/>
          <w:szCs w:val="24"/>
        </w:rPr>
        <w:t xml:space="preserve">(Putra, 2013) </w:t>
      </w:r>
      <w:r w:rsidR="007E4227">
        <w:rPr>
          <w:rFonts w:asciiTheme="majorBidi" w:hAnsiTheme="majorBidi" w:cstheme="majorBidi"/>
          <w:sz w:val="24"/>
          <w:szCs w:val="24"/>
        </w:rPr>
        <w:t xml:space="preserve">mengatakan bahwa salah satu karakteristik sistem penganggaran adalah kejelasan sasaran anggaran. </w:t>
      </w:r>
      <w:r w:rsidR="00054F06">
        <w:rPr>
          <w:rFonts w:asciiTheme="majorBidi" w:hAnsiTheme="majorBidi" w:cstheme="majorBidi"/>
          <w:sz w:val="24"/>
          <w:szCs w:val="24"/>
        </w:rPr>
        <w:t>Kejelasan sasaran anggran adalah sejauh mana tujuan anggaran ditetapkan secara jelas dan spesifik dengan tujuan agar anggaran</w:t>
      </w:r>
      <w:r w:rsidR="00C7354C">
        <w:rPr>
          <w:rFonts w:asciiTheme="majorBidi" w:hAnsiTheme="majorBidi" w:cstheme="majorBidi"/>
          <w:sz w:val="24"/>
          <w:szCs w:val="24"/>
        </w:rPr>
        <w:t xml:space="preserve"> tersebut dapat dimengerti oleh orang yang bertanggungjawab atas pencapaian anggaran</w:t>
      </w:r>
      <w:r w:rsidR="00024B55">
        <w:rPr>
          <w:rFonts w:asciiTheme="majorBidi" w:hAnsiTheme="majorBidi" w:cstheme="majorBidi"/>
          <w:sz w:val="24"/>
          <w:szCs w:val="24"/>
          <w:lang w:val="en-US"/>
        </w:rPr>
        <w:t xml:space="preserve"> (</w:t>
      </w:r>
      <w:r w:rsidR="00024B55" w:rsidRPr="00E31906">
        <w:rPr>
          <w:rFonts w:asciiTheme="majorBidi" w:hAnsiTheme="majorBidi" w:cstheme="majorBidi"/>
          <w:bCs/>
          <w:sz w:val="24"/>
          <w:szCs w:val="24"/>
        </w:rPr>
        <w:t>Suharono dan Solichin</w:t>
      </w:r>
      <w:r w:rsidR="00024B55">
        <w:rPr>
          <w:rFonts w:asciiTheme="majorBidi" w:hAnsiTheme="majorBidi" w:cstheme="majorBidi"/>
          <w:bCs/>
          <w:sz w:val="24"/>
          <w:szCs w:val="24"/>
          <w:lang w:val="en-US"/>
        </w:rPr>
        <w:t xml:space="preserve">, </w:t>
      </w:r>
      <w:r w:rsidR="00024B55">
        <w:rPr>
          <w:rFonts w:asciiTheme="majorBidi" w:hAnsiTheme="majorBidi" w:cstheme="majorBidi"/>
          <w:bCs/>
          <w:sz w:val="24"/>
          <w:szCs w:val="24"/>
        </w:rPr>
        <w:t>2006)</w:t>
      </w:r>
      <w:r w:rsidR="00C7354C">
        <w:rPr>
          <w:rFonts w:asciiTheme="majorBidi" w:hAnsiTheme="majorBidi" w:cstheme="majorBidi"/>
          <w:sz w:val="24"/>
          <w:szCs w:val="24"/>
        </w:rPr>
        <w:t>. Kejelasan sasaran anggaran berimplikasi dalam penyusunan anggaran sesuai dengan sasaran yang ingin dicapai.</w:t>
      </w:r>
      <w:r w:rsidR="00891A74">
        <w:rPr>
          <w:rFonts w:asciiTheme="majorBidi" w:hAnsiTheme="majorBidi" w:cstheme="majorBidi"/>
          <w:sz w:val="24"/>
          <w:szCs w:val="24"/>
        </w:rPr>
        <w:t xml:space="preserve"> </w:t>
      </w:r>
    </w:p>
    <w:p w:rsidR="008F3A62" w:rsidRPr="00E81C7B" w:rsidRDefault="00024B55" w:rsidP="008F3A62">
      <w:pPr>
        <w:spacing w:after="0" w:line="360" w:lineRule="auto"/>
        <w:ind w:firstLine="720"/>
        <w:jc w:val="both"/>
        <w:rPr>
          <w:rFonts w:ascii="Times New Roman" w:eastAsia="Times New Roman" w:hAnsi="Times New Roman" w:cs="Times New Roman"/>
          <w:color w:val="333333"/>
          <w:sz w:val="24"/>
          <w:szCs w:val="24"/>
          <w:lang w:val="en-US"/>
        </w:rPr>
      </w:pPr>
      <w:r>
        <w:rPr>
          <w:rFonts w:asciiTheme="majorBidi" w:hAnsiTheme="majorBidi" w:cstheme="majorBidi"/>
          <w:sz w:val="24"/>
          <w:szCs w:val="24"/>
          <w:lang w:val="en-US"/>
        </w:rPr>
        <w:t>Perencanaan dan pengang</w:t>
      </w:r>
      <w:r w:rsidR="008F3A62">
        <w:rPr>
          <w:rFonts w:asciiTheme="majorBidi" w:hAnsiTheme="majorBidi" w:cstheme="majorBidi"/>
          <w:sz w:val="24"/>
          <w:szCs w:val="24"/>
          <w:lang w:val="en-US"/>
        </w:rPr>
        <w:t>ar</w:t>
      </w:r>
      <w:r>
        <w:rPr>
          <w:rFonts w:asciiTheme="majorBidi" w:hAnsiTheme="majorBidi" w:cstheme="majorBidi"/>
          <w:sz w:val="24"/>
          <w:szCs w:val="24"/>
          <w:lang w:val="en-US"/>
        </w:rPr>
        <w:t xml:space="preserve">an merupakan salah satu faktor </w:t>
      </w:r>
      <w:r w:rsidR="008F3A62">
        <w:rPr>
          <w:rFonts w:asciiTheme="majorBidi" w:hAnsiTheme="majorBidi" w:cstheme="majorBidi"/>
          <w:sz w:val="24"/>
          <w:szCs w:val="24"/>
          <w:lang w:val="en-US"/>
        </w:rPr>
        <w:t xml:space="preserve">utama yang harus diperhitungkan dengan baik oleh pemerintah karena dibeberapa daerah di Indonesia yang menyebabkan kinerja pemerintah daerah tersebut rendah adalah belum optimalnya proses perencanaan dan pengangaran yang mengabaikan prinsip-prinsip pengelolaan keuangan yang baik. Akibatnya daya serap yang rendah memunculkan masalah keuangan daerah yang buruk. </w:t>
      </w:r>
      <w:r w:rsidR="008F3A62" w:rsidRPr="00305259">
        <w:rPr>
          <w:rFonts w:ascii="Times New Roman" w:hAnsi="Times New Roman" w:cs="Times New Roman"/>
          <w:sz w:val="24"/>
          <w:szCs w:val="24"/>
        </w:rPr>
        <w:t>Temuan menunjukkan bahwa</w:t>
      </w:r>
      <w:r w:rsidR="008F3A62">
        <w:rPr>
          <w:rFonts w:asciiTheme="majorBidi" w:hAnsiTheme="majorBidi" w:cstheme="majorBidi"/>
          <w:sz w:val="24"/>
          <w:szCs w:val="24"/>
        </w:rPr>
        <w:t xml:space="preserve"> bentuk kinerja manajerial yang dimiliki oleh pemerintah daerah Provinsi Sumatera Selatan dengan masing-masing unit </w:t>
      </w:r>
      <w:r w:rsidR="003F7322">
        <w:rPr>
          <w:rFonts w:asciiTheme="majorBidi" w:hAnsiTheme="majorBidi" w:cstheme="majorBidi"/>
          <w:sz w:val="24"/>
          <w:szCs w:val="24"/>
        </w:rPr>
        <w:t>OPD</w:t>
      </w:r>
      <w:r w:rsidR="003F7322">
        <w:rPr>
          <w:rFonts w:asciiTheme="majorBidi" w:hAnsiTheme="majorBidi" w:cstheme="majorBidi"/>
          <w:sz w:val="24"/>
          <w:szCs w:val="24"/>
          <w:lang w:val="en-US"/>
        </w:rPr>
        <w:t xml:space="preserve"> </w:t>
      </w:r>
      <w:r w:rsidR="008F3A62">
        <w:rPr>
          <w:rFonts w:asciiTheme="majorBidi" w:hAnsiTheme="majorBidi" w:cstheme="majorBidi"/>
          <w:sz w:val="24"/>
          <w:szCs w:val="24"/>
        </w:rPr>
        <w:t>dapat dikatakan belum optimal dikarenakan belum tercapainya target anggaran dalam memberikan pelayanan dan kesejahteraan kepada masyarakatnya. Ketidakoptimalan diduga disebabkan oleh ketidak</w:t>
      </w:r>
      <w:r w:rsidR="008F3A62">
        <w:rPr>
          <w:rFonts w:asciiTheme="majorBidi" w:hAnsiTheme="majorBidi" w:cstheme="majorBidi"/>
          <w:sz w:val="24"/>
          <w:szCs w:val="24"/>
          <w:lang w:val="en-US"/>
        </w:rPr>
        <w:t xml:space="preserve"> </w:t>
      </w:r>
      <w:r w:rsidR="008F3A62">
        <w:rPr>
          <w:rFonts w:asciiTheme="majorBidi" w:hAnsiTheme="majorBidi" w:cstheme="majorBidi"/>
          <w:sz w:val="24"/>
          <w:szCs w:val="24"/>
        </w:rPr>
        <w:t>konsisten</w:t>
      </w:r>
      <w:r w:rsidR="008F3A62">
        <w:rPr>
          <w:rFonts w:asciiTheme="majorBidi" w:hAnsiTheme="majorBidi" w:cstheme="majorBidi"/>
          <w:sz w:val="24"/>
          <w:szCs w:val="24"/>
          <w:lang w:val="en-US"/>
        </w:rPr>
        <w:t>an</w:t>
      </w:r>
      <w:r w:rsidR="008F3A62">
        <w:rPr>
          <w:rFonts w:asciiTheme="majorBidi" w:hAnsiTheme="majorBidi" w:cstheme="majorBidi"/>
          <w:sz w:val="24"/>
          <w:szCs w:val="24"/>
        </w:rPr>
        <w:t xml:space="preserve"> akan kinerja aparat pemerintah yang dapat mengakibatkan kebingungan dalam pelaksanaan serta ketidakpuasan dalam kinerja. Hal ini menegaskan pentingnya akuntabilitas publik dalam peningkatan kinerja manajerial karena dengan adanya akuntabilitas kepada masyarakat, tidak hanya mengetahui anggaran tersebut tetapi juga mengetahui pelaksanaan kegiatan yang dianggarkan sehingga pemerintah daerah berusaha dengan baik dalam melaksanakan seluruh perencanaan yang ada.</w:t>
      </w:r>
      <w:r w:rsidR="008F3A62">
        <w:rPr>
          <w:rFonts w:ascii="Times New Roman" w:eastAsia="Times New Roman" w:hAnsi="Times New Roman" w:cs="Times New Roman"/>
          <w:color w:val="333333"/>
          <w:sz w:val="24"/>
          <w:szCs w:val="24"/>
          <w:lang w:val="en-US"/>
        </w:rPr>
        <w:t xml:space="preserve"> </w:t>
      </w:r>
      <w:r w:rsidR="008F3A62">
        <w:rPr>
          <w:rFonts w:asciiTheme="majorBidi" w:hAnsiTheme="majorBidi" w:cstheme="majorBidi"/>
          <w:sz w:val="24"/>
          <w:szCs w:val="24"/>
        </w:rPr>
        <w:t>D</w:t>
      </w:r>
      <w:r w:rsidR="008F3A62" w:rsidRPr="00C9605D">
        <w:rPr>
          <w:rFonts w:asciiTheme="majorBidi" w:hAnsiTheme="majorBidi" w:cstheme="majorBidi"/>
          <w:sz w:val="24"/>
          <w:szCs w:val="24"/>
        </w:rPr>
        <w:t>i Provinsi Sumatera Selatan</w:t>
      </w:r>
      <w:r w:rsidR="008F3A62">
        <w:rPr>
          <w:rFonts w:asciiTheme="majorBidi" w:hAnsiTheme="majorBidi" w:cstheme="majorBidi"/>
          <w:sz w:val="24"/>
          <w:szCs w:val="24"/>
        </w:rPr>
        <w:t xml:space="preserve"> ada beberapa OPD yang realisasi anggaranya masih rendah. </w:t>
      </w:r>
      <w:r w:rsidR="008F3A62">
        <w:rPr>
          <w:rFonts w:asciiTheme="majorBidi" w:hAnsiTheme="majorBidi" w:cstheme="majorBidi"/>
          <w:sz w:val="24"/>
          <w:szCs w:val="24"/>
          <w:lang w:val="en-US"/>
        </w:rPr>
        <w:t>G</w:t>
      </w:r>
      <w:r w:rsidR="008F3A62">
        <w:rPr>
          <w:rFonts w:asciiTheme="majorBidi" w:hAnsiTheme="majorBidi" w:cstheme="majorBidi"/>
          <w:sz w:val="24"/>
          <w:szCs w:val="24"/>
        </w:rPr>
        <w:t xml:space="preserve">rafik persentase Realisasi Anggaran </w:t>
      </w:r>
      <w:r w:rsidR="008F3A62" w:rsidRPr="00C9605D">
        <w:rPr>
          <w:rFonts w:asciiTheme="majorBidi" w:hAnsiTheme="majorBidi" w:cstheme="majorBidi"/>
          <w:sz w:val="24"/>
          <w:szCs w:val="24"/>
        </w:rPr>
        <w:t>di Provinsi Sumatera Selatan</w:t>
      </w:r>
      <w:r w:rsidR="008F3A62">
        <w:rPr>
          <w:rFonts w:asciiTheme="majorBidi" w:hAnsiTheme="majorBidi" w:cstheme="majorBidi"/>
          <w:sz w:val="24"/>
          <w:szCs w:val="24"/>
        </w:rPr>
        <w:t xml:space="preserve"> </w:t>
      </w:r>
      <w:r w:rsidR="008F3A62">
        <w:rPr>
          <w:rFonts w:asciiTheme="majorBidi" w:hAnsiTheme="majorBidi" w:cstheme="majorBidi"/>
          <w:sz w:val="24"/>
          <w:szCs w:val="24"/>
          <w:lang w:val="en-US"/>
        </w:rPr>
        <w:t>tahun 2016.</w:t>
      </w:r>
    </w:p>
    <w:p w:rsidR="00024B55" w:rsidRPr="00024B55" w:rsidRDefault="00024B55" w:rsidP="00835C7A">
      <w:pPr>
        <w:spacing w:after="0" w:line="360" w:lineRule="auto"/>
        <w:jc w:val="both"/>
        <w:rPr>
          <w:rFonts w:asciiTheme="majorBidi" w:hAnsiTheme="majorBidi" w:cstheme="majorBidi"/>
          <w:sz w:val="24"/>
          <w:szCs w:val="24"/>
          <w:lang w:val="en-US"/>
        </w:rPr>
      </w:pPr>
    </w:p>
    <w:p w:rsidR="008F3A62" w:rsidRDefault="008F3A62" w:rsidP="00387D06">
      <w:pPr>
        <w:spacing w:after="0" w:line="360" w:lineRule="auto"/>
        <w:jc w:val="both"/>
        <w:rPr>
          <w:rFonts w:asciiTheme="majorBidi" w:hAnsiTheme="majorBidi" w:cstheme="majorBidi"/>
          <w:sz w:val="24"/>
          <w:szCs w:val="24"/>
          <w:lang w:val="en-US"/>
        </w:rPr>
      </w:pPr>
      <w:r w:rsidRPr="008F3A62">
        <w:rPr>
          <w:rFonts w:asciiTheme="majorBidi" w:hAnsiTheme="majorBidi" w:cstheme="majorBidi"/>
          <w:noProof/>
          <w:sz w:val="24"/>
          <w:szCs w:val="24"/>
          <w:lang w:val="en-US"/>
        </w:rPr>
        <w:lastRenderedPageBreak/>
        <w:drawing>
          <wp:inline distT="0" distB="0" distL="0" distR="0">
            <wp:extent cx="5039995" cy="2619375"/>
            <wp:effectExtent l="19050" t="0" r="2730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5804" w:rsidRPr="004C5804" w:rsidRDefault="004A1CF0" w:rsidP="004A1CF0">
      <w:pPr>
        <w:spacing w:after="0" w:line="240" w:lineRule="auto"/>
        <w:jc w:val="center"/>
        <w:rPr>
          <w:rFonts w:asciiTheme="majorBidi" w:hAnsiTheme="majorBidi" w:cstheme="majorBidi"/>
          <w:b/>
          <w:bCs/>
          <w:lang w:val="en-US"/>
        </w:rPr>
      </w:pPr>
      <w:r w:rsidRPr="004C5804">
        <w:rPr>
          <w:rFonts w:asciiTheme="majorBidi" w:hAnsiTheme="majorBidi" w:cstheme="majorBidi"/>
          <w:b/>
          <w:bCs/>
        </w:rPr>
        <w:t>Gambar 1.</w:t>
      </w:r>
      <w:r w:rsidRPr="004C5804">
        <w:rPr>
          <w:rFonts w:asciiTheme="majorBidi" w:hAnsiTheme="majorBidi" w:cstheme="majorBidi"/>
          <w:b/>
          <w:bCs/>
          <w:lang w:val="en-US"/>
        </w:rPr>
        <w:t>1</w:t>
      </w:r>
      <w:r w:rsidRPr="004C5804">
        <w:rPr>
          <w:rFonts w:asciiTheme="majorBidi" w:hAnsiTheme="majorBidi" w:cstheme="majorBidi"/>
          <w:b/>
          <w:bCs/>
        </w:rPr>
        <w:t xml:space="preserve"> </w:t>
      </w:r>
    </w:p>
    <w:p w:rsidR="004A1CF0" w:rsidRPr="00D92A29" w:rsidRDefault="004A1CF0" w:rsidP="00D92A29">
      <w:pPr>
        <w:spacing w:after="0" w:line="360" w:lineRule="auto"/>
        <w:jc w:val="center"/>
        <w:rPr>
          <w:rFonts w:asciiTheme="majorBidi" w:hAnsiTheme="majorBidi" w:cstheme="majorBidi"/>
          <w:b/>
          <w:bCs/>
          <w:lang w:val="en-US"/>
        </w:rPr>
      </w:pPr>
      <w:r w:rsidRPr="004C5804">
        <w:rPr>
          <w:rFonts w:asciiTheme="majorBidi" w:hAnsiTheme="majorBidi" w:cstheme="majorBidi"/>
          <w:b/>
          <w:bCs/>
        </w:rPr>
        <w:t>Pencapaian Realisasi Anggaran OPD Provinsi Sumatera Selatan tahun 2016</w:t>
      </w:r>
    </w:p>
    <w:p w:rsidR="004A1CF0" w:rsidRDefault="004A1CF0" w:rsidP="00D92A29">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Dari gambar 1</w:t>
      </w:r>
      <w:r>
        <w:rPr>
          <w:rFonts w:asciiTheme="majorBidi" w:hAnsiTheme="majorBidi" w:cstheme="majorBidi"/>
          <w:sz w:val="24"/>
          <w:szCs w:val="24"/>
          <w:lang w:val="en-US"/>
        </w:rPr>
        <w:t>.1</w:t>
      </w:r>
      <w:r>
        <w:rPr>
          <w:rFonts w:asciiTheme="majorBidi" w:hAnsiTheme="majorBidi" w:cstheme="majorBidi"/>
          <w:sz w:val="24"/>
          <w:szCs w:val="24"/>
        </w:rPr>
        <w:t xml:space="preserve"> menunjukkan R</w:t>
      </w:r>
      <w:r w:rsidRPr="00C9605D">
        <w:rPr>
          <w:rFonts w:asciiTheme="majorBidi" w:hAnsiTheme="majorBidi" w:cstheme="majorBidi"/>
          <w:sz w:val="24"/>
          <w:szCs w:val="24"/>
        </w:rPr>
        <w:t>ata-rata persentase realisasi anggaran di Provinsi Sumatera Selatan</w:t>
      </w:r>
      <w:r>
        <w:rPr>
          <w:rFonts w:asciiTheme="majorBidi" w:hAnsiTheme="majorBidi" w:cstheme="majorBidi"/>
          <w:sz w:val="24"/>
          <w:szCs w:val="24"/>
        </w:rPr>
        <w:t xml:space="preserve"> pada tahun 2016</w:t>
      </w:r>
      <w:r w:rsidRPr="00C9605D">
        <w:rPr>
          <w:rFonts w:asciiTheme="majorBidi" w:hAnsiTheme="majorBidi" w:cstheme="majorBidi"/>
          <w:sz w:val="24"/>
          <w:szCs w:val="24"/>
        </w:rPr>
        <w:t xml:space="preserve">. </w:t>
      </w:r>
      <w:r>
        <w:rPr>
          <w:rFonts w:asciiTheme="majorBidi" w:hAnsiTheme="majorBidi" w:cstheme="majorBidi"/>
          <w:sz w:val="24"/>
          <w:szCs w:val="24"/>
          <w:lang w:val="en-US"/>
        </w:rPr>
        <w:t xml:space="preserve">Hal ini terlihat dari catatan yang dimiliki Kantor Wilayah Ditjen Pembendaharaan Provinsi Sumsel dari Direktorat Jenderal Pembendaharaan Kanwil Sumsel. Kepala Ditjen Pembendaharaan Kanwil Sumsel menyampaikan ada beberapa OPD yang kinerja anggaran masih cukup rendah. Sampai triwulan ketiga (September) harusnya realisasi anggaran mencapai 60% sampai dengan tahun 2016. OPD yang dibawah 60% seperti Kesbangpol, Dinas Kesehatan, Dinas Perindustrian dan Perdagangan, Dinas Pendidikan. Tapi sebenarnya ada beberapa OPD yang rendah realisasinya karena melihat situasi seperti Dinas Sosial yang melakukan kinerja jika ada kejadian. Kemudian, Dinas Pertanian dimana program percetakan sawah lebak mengalami kendala yang disebabkan oleh pasang surut sehingga tidak bisa menanam. </w:t>
      </w:r>
      <w:r w:rsidRPr="00C9605D">
        <w:rPr>
          <w:rFonts w:asciiTheme="majorBidi" w:hAnsiTheme="majorBidi" w:cstheme="majorBidi"/>
          <w:sz w:val="24"/>
          <w:szCs w:val="24"/>
        </w:rPr>
        <w:t xml:space="preserve">Berdasarkan </w:t>
      </w:r>
      <w:r w:rsidRPr="00C9605D">
        <w:rPr>
          <w:rFonts w:asciiTheme="majorBidi" w:hAnsiTheme="majorBidi" w:cstheme="majorBidi"/>
          <w:i/>
          <w:iCs/>
          <w:sz w:val="24"/>
          <w:szCs w:val="24"/>
        </w:rPr>
        <w:t>online monitoring span</w:t>
      </w:r>
      <w:r>
        <w:rPr>
          <w:rFonts w:asciiTheme="majorBidi" w:hAnsiTheme="majorBidi" w:cstheme="majorBidi"/>
          <w:i/>
          <w:iCs/>
          <w:sz w:val="24"/>
          <w:szCs w:val="24"/>
          <w:lang w:val="en-US"/>
        </w:rPr>
        <w:t xml:space="preserve"> </w:t>
      </w:r>
      <w:r w:rsidRPr="00C9605D">
        <w:rPr>
          <w:rFonts w:asciiTheme="majorBidi" w:hAnsiTheme="majorBidi" w:cstheme="majorBidi"/>
          <w:sz w:val="24"/>
          <w:szCs w:val="24"/>
        </w:rPr>
        <w:t xml:space="preserve">kantor Wilayah Ditjen Pembendaharaan Provinsi Sumatera Selatan </w:t>
      </w:r>
      <w:r>
        <w:rPr>
          <w:rFonts w:asciiTheme="majorBidi" w:hAnsiTheme="majorBidi" w:cstheme="majorBidi"/>
          <w:sz w:val="24"/>
          <w:szCs w:val="24"/>
        </w:rPr>
        <w:t>menunjukkan</w:t>
      </w:r>
      <w:r w:rsidRPr="00C9605D">
        <w:rPr>
          <w:rFonts w:asciiTheme="majorBidi" w:hAnsiTheme="majorBidi" w:cstheme="majorBidi"/>
          <w:sz w:val="24"/>
          <w:szCs w:val="24"/>
        </w:rPr>
        <w:t xml:space="preserve"> rata-rata </w:t>
      </w:r>
      <w:r w:rsidRPr="00C9605D">
        <w:rPr>
          <w:rFonts w:asciiTheme="majorBidi" w:eastAsia="Times New Roman" w:hAnsiTheme="majorBidi" w:cstheme="majorBidi"/>
          <w:color w:val="000000"/>
          <w:sz w:val="24"/>
          <w:szCs w:val="24"/>
          <w:lang w:eastAsia="id-ID"/>
        </w:rPr>
        <w:t>55,08261</w:t>
      </w:r>
      <w:r>
        <w:rPr>
          <w:rFonts w:asciiTheme="majorBidi" w:eastAsia="Times New Roman" w:hAnsiTheme="majorBidi" w:cstheme="majorBidi"/>
          <w:color w:val="000000"/>
          <w:sz w:val="24"/>
          <w:szCs w:val="24"/>
          <w:lang w:eastAsia="id-ID"/>
        </w:rPr>
        <w:t xml:space="preserve"> yang termasuk kedalam </w:t>
      </w:r>
      <w:r w:rsidRPr="00C9605D">
        <w:rPr>
          <w:rFonts w:asciiTheme="majorBidi" w:hAnsiTheme="majorBidi" w:cstheme="majorBidi"/>
          <w:sz w:val="24"/>
          <w:szCs w:val="24"/>
        </w:rPr>
        <w:t>kategori kinerja yang buruk</w:t>
      </w:r>
      <w:r>
        <w:rPr>
          <w:rFonts w:asciiTheme="majorBidi" w:hAnsiTheme="majorBidi" w:cstheme="majorBidi"/>
          <w:sz w:val="24"/>
          <w:szCs w:val="24"/>
        </w:rPr>
        <w:t xml:space="preserve"> atau dibawah 60%</w:t>
      </w:r>
      <w:r>
        <w:rPr>
          <w:rFonts w:asciiTheme="majorBidi" w:hAnsiTheme="majorBidi" w:cstheme="majorBidi"/>
          <w:sz w:val="24"/>
          <w:szCs w:val="24"/>
          <w:lang w:val="en-US"/>
        </w:rPr>
        <w:t xml:space="preserve"> </w:t>
      </w:r>
      <w:r w:rsidRPr="00C9605D">
        <w:rPr>
          <w:rFonts w:asciiTheme="majorBidi" w:hAnsiTheme="majorBidi" w:cstheme="majorBidi"/>
          <w:sz w:val="24"/>
          <w:szCs w:val="24"/>
        </w:rPr>
        <w:t>(Sudarso, 2016).</w:t>
      </w:r>
    </w:p>
    <w:p w:rsidR="004A1CF0" w:rsidRPr="003F7322" w:rsidRDefault="003F7322" w:rsidP="00843548">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Dengan adanya kejelasan sasaran anggaran yang jelas dan spesifik akan mempermudah pertanggungjawaban atas keberhasilan atau kegagalan pelaksanaan tugas organisasi sektor publik serta dapat membantu pemerintah daerah dalam </w:t>
      </w:r>
      <w:r>
        <w:rPr>
          <w:rFonts w:asciiTheme="majorBidi" w:hAnsiTheme="majorBidi" w:cstheme="majorBidi"/>
          <w:sz w:val="24"/>
          <w:szCs w:val="24"/>
        </w:rPr>
        <w:lastRenderedPageBreak/>
        <w:t xml:space="preserve">meningkatkan kinerja yang diharapkan. </w:t>
      </w:r>
      <w:r>
        <w:rPr>
          <w:rFonts w:asciiTheme="majorBidi" w:hAnsiTheme="majorBidi" w:cstheme="majorBidi"/>
          <w:sz w:val="24"/>
          <w:szCs w:val="24"/>
          <w:lang w:val="en-US"/>
        </w:rPr>
        <w:t xml:space="preserve">Realisasi Anggaran Pendapatan </w:t>
      </w:r>
      <w:r>
        <w:rPr>
          <w:rFonts w:asciiTheme="majorBidi" w:hAnsiTheme="majorBidi" w:cstheme="majorBidi"/>
          <w:sz w:val="24"/>
          <w:szCs w:val="24"/>
        </w:rPr>
        <w:t xml:space="preserve">Provinsi Sumatera Selatan dapat dilihat pada </w:t>
      </w:r>
      <w:r>
        <w:rPr>
          <w:rFonts w:asciiTheme="majorBidi" w:hAnsiTheme="majorBidi" w:cstheme="majorBidi"/>
          <w:sz w:val="24"/>
          <w:szCs w:val="24"/>
          <w:lang w:val="en-US"/>
        </w:rPr>
        <w:t>t</w:t>
      </w:r>
      <w:r>
        <w:rPr>
          <w:rFonts w:asciiTheme="majorBidi" w:hAnsiTheme="majorBidi" w:cstheme="majorBidi"/>
          <w:sz w:val="24"/>
          <w:szCs w:val="24"/>
        </w:rPr>
        <w:t>abel 1.</w:t>
      </w:r>
      <w:r>
        <w:rPr>
          <w:rFonts w:asciiTheme="majorBidi" w:hAnsiTheme="majorBidi" w:cstheme="majorBidi"/>
          <w:sz w:val="24"/>
          <w:szCs w:val="24"/>
          <w:lang w:val="en-US"/>
        </w:rPr>
        <w:t>1</w:t>
      </w:r>
      <w:r w:rsidR="00843548">
        <w:rPr>
          <w:rFonts w:asciiTheme="majorBidi" w:hAnsiTheme="majorBidi" w:cstheme="majorBidi"/>
          <w:sz w:val="24"/>
          <w:szCs w:val="24"/>
          <w:lang w:val="en-US"/>
        </w:rPr>
        <w:t>.</w:t>
      </w:r>
    </w:p>
    <w:p w:rsidR="004A1CF0" w:rsidRDefault="004A1CF0" w:rsidP="004A1CF0">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Tabel 1.</w:t>
      </w:r>
      <w:r>
        <w:rPr>
          <w:rFonts w:asciiTheme="majorBidi" w:hAnsiTheme="majorBidi" w:cstheme="majorBidi"/>
          <w:b/>
          <w:bCs/>
          <w:sz w:val="24"/>
          <w:szCs w:val="24"/>
          <w:lang w:val="en-US"/>
        </w:rPr>
        <w:t>1</w:t>
      </w:r>
    </w:p>
    <w:p w:rsidR="006D2DD5" w:rsidRPr="00830578" w:rsidRDefault="006D2DD5" w:rsidP="006D2DD5">
      <w:pPr>
        <w:spacing w:after="0" w:line="240" w:lineRule="auto"/>
        <w:jc w:val="center"/>
        <w:rPr>
          <w:rFonts w:asciiTheme="majorBidi" w:hAnsiTheme="majorBidi" w:cstheme="majorBidi"/>
          <w:b/>
          <w:bCs/>
          <w:sz w:val="24"/>
          <w:szCs w:val="24"/>
        </w:rPr>
      </w:pPr>
      <w:r w:rsidRPr="00830578">
        <w:rPr>
          <w:rFonts w:asciiTheme="majorBidi" w:hAnsiTheme="majorBidi" w:cstheme="majorBidi"/>
          <w:b/>
          <w:bCs/>
          <w:sz w:val="24"/>
          <w:szCs w:val="24"/>
        </w:rPr>
        <w:t>Realisasi Anggaran</w:t>
      </w:r>
      <w:r w:rsidR="00305259">
        <w:rPr>
          <w:rFonts w:asciiTheme="majorBidi" w:hAnsiTheme="majorBidi" w:cstheme="majorBidi"/>
          <w:b/>
          <w:bCs/>
          <w:sz w:val="24"/>
          <w:szCs w:val="24"/>
          <w:lang w:val="en-US"/>
        </w:rPr>
        <w:t xml:space="preserve"> Pendapatan </w:t>
      </w:r>
      <w:r w:rsidRPr="00830578">
        <w:rPr>
          <w:rFonts w:asciiTheme="majorBidi" w:hAnsiTheme="majorBidi" w:cstheme="majorBidi"/>
          <w:b/>
          <w:bCs/>
          <w:sz w:val="24"/>
          <w:szCs w:val="24"/>
        </w:rPr>
        <w:t xml:space="preserve">Provinsi Sumatera Selatan </w:t>
      </w:r>
    </w:p>
    <w:p w:rsidR="006D2DD5" w:rsidRPr="00305259" w:rsidRDefault="006D2DD5" w:rsidP="00830578">
      <w:pPr>
        <w:spacing w:after="0" w:line="240" w:lineRule="auto"/>
        <w:jc w:val="right"/>
        <w:rPr>
          <w:rFonts w:asciiTheme="majorBidi" w:hAnsiTheme="majorBidi" w:cstheme="majorBidi"/>
          <w:b/>
          <w:bCs/>
          <w:sz w:val="20"/>
          <w:szCs w:val="20"/>
        </w:rPr>
      </w:pPr>
      <w:r w:rsidRPr="00305259">
        <w:rPr>
          <w:rFonts w:asciiTheme="majorBidi" w:hAnsiTheme="majorBidi" w:cstheme="majorBidi"/>
          <w:b/>
          <w:bCs/>
          <w:sz w:val="20"/>
          <w:szCs w:val="20"/>
        </w:rPr>
        <w:t>Dalam (Rupiah)</w:t>
      </w:r>
    </w:p>
    <w:tbl>
      <w:tblPr>
        <w:tblStyle w:val="TableGrid"/>
        <w:tblW w:w="0" w:type="auto"/>
        <w:tblInd w:w="108" w:type="dxa"/>
        <w:tblLook w:val="04A0"/>
      </w:tblPr>
      <w:tblGrid>
        <w:gridCol w:w="897"/>
        <w:gridCol w:w="2505"/>
        <w:gridCol w:w="2650"/>
        <w:gridCol w:w="1932"/>
      </w:tblGrid>
      <w:tr w:rsidR="006D2DD5" w:rsidRPr="00631355" w:rsidTr="006D2DD5">
        <w:trPr>
          <w:trHeight w:val="675"/>
        </w:trPr>
        <w:tc>
          <w:tcPr>
            <w:tcW w:w="897" w:type="dxa"/>
            <w:vAlign w:val="center"/>
          </w:tcPr>
          <w:p w:rsidR="006D2DD5" w:rsidRPr="00631355" w:rsidRDefault="006D2DD5" w:rsidP="006D2DD5">
            <w:pPr>
              <w:jc w:val="center"/>
              <w:rPr>
                <w:rFonts w:asciiTheme="majorBidi" w:hAnsiTheme="majorBidi" w:cstheme="majorBidi"/>
                <w:b/>
                <w:bCs/>
              </w:rPr>
            </w:pPr>
            <w:r w:rsidRPr="00631355">
              <w:rPr>
                <w:rFonts w:asciiTheme="majorBidi" w:hAnsiTheme="majorBidi" w:cstheme="majorBidi"/>
                <w:b/>
                <w:bCs/>
              </w:rPr>
              <w:t>Tahun</w:t>
            </w:r>
          </w:p>
        </w:tc>
        <w:tc>
          <w:tcPr>
            <w:tcW w:w="2505" w:type="dxa"/>
            <w:vAlign w:val="center"/>
          </w:tcPr>
          <w:p w:rsidR="006D2DD5" w:rsidRPr="00631355" w:rsidRDefault="006D2DD5" w:rsidP="006D2DD5">
            <w:pPr>
              <w:jc w:val="center"/>
              <w:rPr>
                <w:rFonts w:asciiTheme="majorBidi" w:hAnsiTheme="majorBidi" w:cstheme="majorBidi"/>
                <w:b/>
                <w:bCs/>
              </w:rPr>
            </w:pPr>
            <w:r w:rsidRPr="00631355">
              <w:rPr>
                <w:rFonts w:asciiTheme="majorBidi" w:hAnsiTheme="majorBidi" w:cstheme="majorBidi"/>
                <w:b/>
                <w:bCs/>
              </w:rPr>
              <w:t>Anggaran</w:t>
            </w:r>
          </w:p>
        </w:tc>
        <w:tc>
          <w:tcPr>
            <w:tcW w:w="2650" w:type="dxa"/>
            <w:vAlign w:val="center"/>
          </w:tcPr>
          <w:p w:rsidR="006D2DD5" w:rsidRPr="00631355" w:rsidRDefault="006D2DD5" w:rsidP="006D2DD5">
            <w:pPr>
              <w:jc w:val="center"/>
              <w:rPr>
                <w:rFonts w:asciiTheme="majorBidi" w:hAnsiTheme="majorBidi" w:cstheme="majorBidi"/>
                <w:b/>
                <w:bCs/>
              </w:rPr>
            </w:pPr>
            <w:r w:rsidRPr="00631355">
              <w:rPr>
                <w:rFonts w:asciiTheme="majorBidi" w:hAnsiTheme="majorBidi" w:cstheme="majorBidi"/>
                <w:b/>
                <w:bCs/>
              </w:rPr>
              <w:t>Realisasi</w:t>
            </w:r>
          </w:p>
        </w:tc>
        <w:tc>
          <w:tcPr>
            <w:tcW w:w="1932" w:type="dxa"/>
            <w:vAlign w:val="center"/>
          </w:tcPr>
          <w:p w:rsidR="006D2DD5" w:rsidRPr="00631355" w:rsidRDefault="006D2DD5" w:rsidP="006D2DD5">
            <w:pPr>
              <w:jc w:val="center"/>
              <w:rPr>
                <w:rFonts w:asciiTheme="majorBidi" w:hAnsiTheme="majorBidi" w:cstheme="majorBidi"/>
                <w:b/>
                <w:bCs/>
              </w:rPr>
            </w:pPr>
            <w:r w:rsidRPr="00631355">
              <w:rPr>
                <w:rFonts w:asciiTheme="majorBidi" w:hAnsiTheme="majorBidi" w:cstheme="majorBidi"/>
                <w:b/>
                <w:bCs/>
              </w:rPr>
              <w:t>Pencapaian</w:t>
            </w:r>
          </w:p>
          <w:p w:rsidR="006D2DD5" w:rsidRPr="00631355" w:rsidRDefault="006D2DD5" w:rsidP="006D2DD5">
            <w:pPr>
              <w:jc w:val="center"/>
              <w:rPr>
                <w:rFonts w:asciiTheme="majorBidi" w:hAnsiTheme="majorBidi" w:cstheme="majorBidi"/>
                <w:b/>
                <w:bCs/>
              </w:rPr>
            </w:pPr>
            <w:r w:rsidRPr="00631355">
              <w:rPr>
                <w:rFonts w:asciiTheme="majorBidi" w:hAnsiTheme="majorBidi" w:cstheme="majorBidi"/>
                <w:b/>
                <w:bCs/>
              </w:rPr>
              <w:t>(%)</w:t>
            </w:r>
          </w:p>
        </w:tc>
      </w:tr>
      <w:tr w:rsidR="006D2DD5" w:rsidRPr="00631355" w:rsidTr="006D2DD5">
        <w:tc>
          <w:tcPr>
            <w:tcW w:w="897"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2016</w:t>
            </w:r>
          </w:p>
        </w:tc>
        <w:tc>
          <w:tcPr>
            <w:tcW w:w="2505"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6.999.258.016.791,91</w:t>
            </w:r>
          </w:p>
        </w:tc>
        <w:tc>
          <w:tcPr>
            <w:tcW w:w="2650"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6.582.780.929.676,33</w:t>
            </w:r>
          </w:p>
        </w:tc>
        <w:tc>
          <w:tcPr>
            <w:tcW w:w="1932"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94,05</w:t>
            </w:r>
          </w:p>
        </w:tc>
      </w:tr>
      <w:tr w:rsidR="006D2DD5" w:rsidRPr="00631355" w:rsidTr="006D2DD5">
        <w:tc>
          <w:tcPr>
            <w:tcW w:w="897"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2015</w:t>
            </w:r>
          </w:p>
        </w:tc>
        <w:tc>
          <w:tcPr>
            <w:tcW w:w="2505"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6.883.873.603.633,09</w:t>
            </w:r>
          </w:p>
        </w:tc>
        <w:tc>
          <w:tcPr>
            <w:tcW w:w="2650"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5.990.424.062.512,00</w:t>
            </w:r>
          </w:p>
        </w:tc>
        <w:tc>
          <w:tcPr>
            <w:tcW w:w="1932"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87,02</w:t>
            </w:r>
          </w:p>
        </w:tc>
      </w:tr>
      <w:tr w:rsidR="006D2DD5" w:rsidRPr="00631355" w:rsidTr="006D2DD5">
        <w:tc>
          <w:tcPr>
            <w:tcW w:w="897"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2014</w:t>
            </w:r>
          </w:p>
        </w:tc>
        <w:tc>
          <w:tcPr>
            <w:tcW w:w="2505"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6.482.962.573.064,65</w:t>
            </w:r>
          </w:p>
        </w:tc>
        <w:tc>
          <w:tcPr>
            <w:tcW w:w="2650"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6.252.136.312.520,51</w:t>
            </w:r>
          </w:p>
        </w:tc>
        <w:tc>
          <w:tcPr>
            <w:tcW w:w="1932"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96,44</w:t>
            </w:r>
          </w:p>
        </w:tc>
      </w:tr>
      <w:tr w:rsidR="006D2DD5" w:rsidRPr="00631355" w:rsidTr="006D2DD5">
        <w:tc>
          <w:tcPr>
            <w:tcW w:w="897"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2013</w:t>
            </w:r>
          </w:p>
        </w:tc>
        <w:tc>
          <w:tcPr>
            <w:tcW w:w="2505"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5.468.139.691.033,10</w:t>
            </w:r>
          </w:p>
        </w:tc>
        <w:tc>
          <w:tcPr>
            <w:tcW w:w="2650"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6.000.782.738.000,00</w:t>
            </w:r>
          </w:p>
        </w:tc>
        <w:tc>
          <w:tcPr>
            <w:tcW w:w="1932" w:type="dxa"/>
            <w:vAlign w:val="center"/>
          </w:tcPr>
          <w:p w:rsidR="006D2DD5" w:rsidRPr="00631355" w:rsidRDefault="006D2DD5" w:rsidP="006D2DD5">
            <w:pPr>
              <w:jc w:val="center"/>
              <w:rPr>
                <w:rFonts w:asciiTheme="majorBidi" w:hAnsiTheme="majorBidi" w:cstheme="majorBidi"/>
              </w:rPr>
            </w:pPr>
            <w:r w:rsidRPr="00631355">
              <w:rPr>
                <w:rFonts w:asciiTheme="majorBidi" w:hAnsiTheme="majorBidi" w:cstheme="majorBidi"/>
              </w:rPr>
              <w:t>91,12</w:t>
            </w:r>
          </w:p>
        </w:tc>
      </w:tr>
    </w:tbl>
    <w:p w:rsidR="006D2DD5" w:rsidRDefault="006D2DD5" w:rsidP="006D2DD5">
      <w:pPr>
        <w:spacing w:after="0" w:line="360" w:lineRule="auto"/>
        <w:jc w:val="both"/>
        <w:rPr>
          <w:rFonts w:asciiTheme="majorBidi" w:hAnsiTheme="majorBidi" w:cstheme="majorBidi"/>
          <w:i/>
          <w:lang w:val="en-US"/>
        </w:rPr>
      </w:pPr>
      <w:r w:rsidRPr="00FB42E6">
        <w:rPr>
          <w:rFonts w:asciiTheme="majorBidi" w:hAnsiTheme="majorBidi" w:cstheme="majorBidi"/>
          <w:i/>
        </w:rPr>
        <w:t>Sumber: Badan Pemeriksa K</w:t>
      </w:r>
      <w:r w:rsidR="006404BD" w:rsidRPr="00FB42E6">
        <w:rPr>
          <w:rFonts w:asciiTheme="majorBidi" w:hAnsiTheme="majorBidi" w:cstheme="majorBidi"/>
          <w:i/>
        </w:rPr>
        <w:t xml:space="preserve">euangan Republik Indonesia, 2013 </w:t>
      </w:r>
      <w:r w:rsidR="00435BBB">
        <w:rPr>
          <w:rFonts w:asciiTheme="majorBidi" w:hAnsiTheme="majorBidi" w:cstheme="majorBidi"/>
          <w:i/>
        </w:rPr>
        <w:t>–</w:t>
      </w:r>
      <w:r w:rsidR="006404BD" w:rsidRPr="00FB42E6">
        <w:rPr>
          <w:rFonts w:asciiTheme="majorBidi" w:hAnsiTheme="majorBidi" w:cstheme="majorBidi"/>
          <w:i/>
        </w:rPr>
        <w:t xml:space="preserve"> 2016</w:t>
      </w:r>
    </w:p>
    <w:p w:rsidR="00843548" w:rsidRPr="00EF780B" w:rsidRDefault="00843548" w:rsidP="00843548">
      <w:pPr>
        <w:spacing w:after="0" w:line="360" w:lineRule="auto"/>
        <w:ind w:firstLine="720"/>
        <w:jc w:val="both"/>
        <w:rPr>
          <w:rFonts w:asciiTheme="majorBidi" w:hAnsiTheme="majorBidi" w:cstheme="majorBidi"/>
          <w:i/>
          <w:lang w:val="en-US"/>
        </w:rPr>
      </w:pPr>
      <w:r w:rsidRPr="00E81C7B">
        <w:rPr>
          <w:rFonts w:ascii="Times New Roman" w:hAnsi="Times New Roman" w:cs="Times New Roman"/>
          <w:sz w:val="24"/>
          <w:szCs w:val="24"/>
        </w:rPr>
        <w:t>Bedasarkan Tabel 1</w:t>
      </w:r>
      <w:r>
        <w:rPr>
          <w:rFonts w:ascii="Times New Roman" w:hAnsi="Times New Roman" w:cs="Times New Roman"/>
          <w:sz w:val="24"/>
          <w:szCs w:val="24"/>
          <w:lang w:val="en-US"/>
        </w:rPr>
        <w:t>.1</w:t>
      </w:r>
      <w:r w:rsidRPr="00E81C7B">
        <w:rPr>
          <w:rFonts w:ascii="Times New Roman" w:hAnsi="Times New Roman" w:cs="Times New Roman"/>
          <w:sz w:val="24"/>
          <w:szCs w:val="24"/>
        </w:rPr>
        <w:t>, terlihat bahwa peningkatan anggaran yang diperoleh Pemerintah Daerah Provinsi Sumatera Selatan tidak s</w:t>
      </w:r>
      <w:r w:rsidRPr="00E81C7B">
        <w:rPr>
          <w:rFonts w:ascii="Times New Roman" w:hAnsi="Times New Roman" w:cs="Times New Roman"/>
          <w:sz w:val="24"/>
          <w:szCs w:val="24"/>
          <w:lang w:val="en-US"/>
        </w:rPr>
        <w:t>e</w:t>
      </w:r>
      <w:r w:rsidRPr="00E81C7B">
        <w:rPr>
          <w:rFonts w:ascii="Times New Roman" w:hAnsi="Times New Roman" w:cs="Times New Roman"/>
          <w:sz w:val="24"/>
          <w:szCs w:val="24"/>
        </w:rPr>
        <w:t xml:space="preserve">lalu diiringi dengan peningkatan realisasi dari penggunaan anggaran tersebut yang merupakan gambaran dari kinerja manajerial pemerintah daerah. Persentase pencapaian realisasi anggaran Provinsi Sumatera Selatan memiliki bentuk yang fluktuatif. Hal ini ditunjukkan </w:t>
      </w:r>
      <w:r>
        <w:rPr>
          <w:rFonts w:ascii="Times New Roman" w:hAnsi="Times New Roman" w:cs="Times New Roman"/>
          <w:sz w:val="24"/>
          <w:szCs w:val="24"/>
          <w:lang w:val="en-US"/>
        </w:rPr>
        <w:t>dari</w:t>
      </w:r>
      <w:r w:rsidRPr="00E81C7B">
        <w:rPr>
          <w:rFonts w:ascii="Times New Roman" w:hAnsi="Times New Roman" w:cs="Times New Roman"/>
          <w:sz w:val="24"/>
          <w:szCs w:val="24"/>
        </w:rPr>
        <w:t xml:space="preserve"> penggunaan anggaran pada tahun 2013 yang pencapaiannya sebesar 91,12% dan pada tahun 2014 mengalami kenaikan realisasi anggaran sebesar 5,32%</w:t>
      </w:r>
      <w:r w:rsidRPr="00E81C7B">
        <w:rPr>
          <w:rFonts w:ascii="Times New Roman" w:hAnsi="Times New Roman" w:cs="Times New Roman"/>
          <w:sz w:val="24"/>
          <w:szCs w:val="24"/>
          <w:lang w:val="en-US"/>
        </w:rPr>
        <w:t xml:space="preserve"> </w:t>
      </w:r>
      <w:r w:rsidRPr="00E81C7B">
        <w:rPr>
          <w:rFonts w:ascii="Times New Roman" w:hAnsi="Times New Roman" w:cs="Times New Roman"/>
          <w:sz w:val="24"/>
          <w:szCs w:val="24"/>
        </w:rPr>
        <w:t>yaitu menjadi 96,44%</w:t>
      </w:r>
      <w:r w:rsidRPr="00E81C7B">
        <w:rPr>
          <w:rFonts w:ascii="Times New Roman" w:hAnsi="Times New Roman" w:cs="Times New Roman"/>
          <w:sz w:val="24"/>
          <w:szCs w:val="24"/>
          <w:lang w:val="en-US"/>
        </w:rPr>
        <w:t>.</w:t>
      </w:r>
      <w:r w:rsidRPr="00E81C7B">
        <w:rPr>
          <w:rFonts w:ascii="Times New Roman" w:hAnsi="Times New Roman" w:cs="Times New Roman"/>
          <w:sz w:val="24"/>
          <w:szCs w:val="24"/>
        </w:rPr>
        <w:t xml:space="preserve"> </w:t>
      </w:r>
      <w:r w:rsidRPr="00E81C7B">
        <w:rPr>
          <w:rFonts w:ascii="Times New Roman" w:hAnsi="Times New Roman" w:cs="Times New Roman"/>
          <w:sz w:val="24"/>
          <w:szCs w:val="24"/>
          <w:lang w:val="en-US"/>
        </w:rPr>
        <w:t>S</w:t>
      </w:r>
      <w:r w:rsidRPr="00E81C7B">
        <w:rPr>
          <w:rFonts w:ascii="Times New Roman" w:hAnsi="Times New Roman" w:cs="Times New Roman"/>
          <w:sz w:val="24"/>
          <w:szCs w:val="24"/>
        </w:rPr>
        <w:t xml:space="preserve">edangkan pada tahun 2015 terjadi </w:t>
      </w:r>
      <w:r w:rsidRPr="003F7322">
        <w:rPr>
          <w:rFonts w:ascii="Times New Roman" w:hAnsi="Times New Roman" w:cs="Times New Roman"/>
          <w:sz w:val="24"/>
          <w:szCs w:val="24"/>
        </w:rPr>
        <w:t>penurunan menjadi 87,02%</w:t>
      </w:r>
      <w:r w:rsidRPr="003F7322">
        <w:rPr>
          <w:rFonts w:ascii="Times New Roman" w:hAnsi="Times New Roman" w:cs="Times New Roman"/>
          <w:sz w:val="24"/>
          <w:szCs w:val="24"/>
          <w:lang w:val="en-US"/>
        </w:rPr>
        <w:t>. Hal ini disebabkan oleh p</w:t>
      </w:r>
      <w:r w:rsidRPr="003F7322">
        <w:rPr>
          <w:rFonts w:ascii="Times New Roman" w:hAnsi="Times New Roman" w:cs="Times New Roman"/>
          <w:sz w:val="24"/>
          <w:szCs w:val="24"/>
        </w:rPr>
        <w:t xml:space="preserve">endapatan </w:t>
      </w:r>
      <w:r w:rsidRPr="003F7322">
        <w:rPr>
          <w:rFonts w:ascii="Times New Roman" w:hAnsi="Times New Roman" w:cs="Times New Roman"/>
          <w:sz w:val="24"/>
          <w:szCs w:val="24"/>
          <w:lang w:val="en-US"/>
        </w:rPr>
        <w:t xml:space="preserve">yang </w:t>
      </w:r>
      <w:r w:rsidRPr="003F7322">
        <w:rPr>
          <w:rFonts w:ascii="Times New Roman" w:hAnsi="Times New Roman" w:cs="Times New Roman"/>
          <w:sz w:val="24"/>
          <w:szCs w:val="24"/>
        </w:rPr>
        <w:t>berasal dari realisasi pendapatan asli daerah</w:t>
      </w:r>
      <w:r w:rsidRPr="003F7322">
        <w:rPr>
          <w:rFonts w:ascii="Times New Roman" w:hAnsi="Times New Roman" w:cs="Times New Roman"/>
          <w:sz w:val="24"/>
          <w:szCs w:val="24"/>
          <w:lang w:val="en-US"/>
        </w:rPr>
        <w:t xml:space="preserve"> sebesar</w:t>
      </w:r>
      <w:r w:rsidRPr="003F7322">
        <w:rPr>
          <w:rFonts w:ascii="Times New Roman" w:hAnsi="Times New Roman" w:cs="Times New Roman"/>
          <w:sz w:val="24"/>
          <w:szCs w:val="24"/>
        </w:rPr>
        <w:t xml:space="preserve"> Rp2.413.637.425.440.20. </w:t>
      </w:r>
      <w:r w:rsidRPr="003F7322">
        <w:rPr>
          <w:rFonts w:ascii="Times New Roman" w:hAnsi="Times New Roman" w:cs="Times New Roman"/>
          <w:sz w:val="24"/>
          <w:szCs w:val="24"/>
          <w:lang w:val="en-US"/>
        </w:rPr>
        <w:t>a</w:t>
      </w:r>
      <w:r w:rsidRPr="003F7322">
        <w:rPr>
          <w:rFonts w:ascii="Times New Roman" w:hAnsi="Times New Roman" w:cs="Times New Roman"/>
          <w:sz w:val="24"/>
          <w:szCs w:val="24"/>
        </w:rPr>
        <w:t>tau 84,04</w:t>
      </w:r>
      <w:r w:rsidRPr="003F7322">
        <w:rPr>
          <w:rFonts w:ascii="Times New Roman" w:hAnsi="Times New Roman" w:cs="Times New Roman"/>
          <w:sz w:val="24"/>
          <w:szCs w:val="24"/>
          <w:lang w:val="en-US"/>
        </w:rPr>
        <w:t>%</w:t>
      </w:r>
      <w:r w:rsidRPr="003F7322">
        <w:rPr>
          <w:rFonts w:ascii="Times New Roman" w:hAnsi="Times New Roman" w:cs="Times New Roman"/>
          <w:sz w:val="24"/>
          <w:szCs w:val="24"/>
        </w:rPr>
        <w:t xml:space="preserve"> dari target Rp 2.871.976.896.280.09 tidak terpenuhi</w:t>
      </w:r>
      <w:r w:rsidRPr="003F7322">
        <w:rPr>
          <w:rFonts w:ascii="Times New Roman" w:hAnsi="Times New Roman" w:cs="Times New Roman"/>
          <w:sz w:val="24"/>
          <w:szCs w:val="24"/>
          <w:lang w:val="en-US"/>
        </w:rPr>
        <w:t>nya</w:t>
      </w:r>
      <w:r w:rsidRPr="003F7322">
        <w:rPr>
          <w:rFonts w:ascii="Times New Roman" w:hAnsi="Times New Roman" w:cs="Times New Roman"/>
          <w:sz w:val="24"/>
          <w:szCs w:val="24"/>
        </w:rPr>
        <w:t xml:space="preserve"> target tersebut dikarenakan komponen pajak daerah yang dominan tidak tercapai targetnya adalah bea balik nama kendaraan bermotor (BBN-KB) yang disebabkan </w:t>
      </w:r>
      <w:r w:rsidRPr="00EF780B">
        <w:rPr>
          <w:rFonts w:ascii="Times New Roman" w:hAnsi="Times New Roman" w:cs="Times New Roman"/>
          <w:sz w:val="24"/>
          <w:szCs w:val="24"/>
        </w:rPr>
        <w:t xml:space="preserve">menurunnya jumlah pembelian kendaraan baru. </w:t>
      </w:r>
      <w:r w:rsidRPr="00EF780B">
        <w:rPr>
          <w:rFonts w:ascii="Times New Roman" w:eastAsia="Times New Roman" w:hAnsi="Times New Roman" w:cs="Times New Roman"/>
          <w:sz w:val="24"/>
          <w:szCs w:val="24"/>
          <w:lang w:val="en-US"/>
        </w:rPr>
        <w:t>Untuk dana perimbangan hampir secara keseluruhan dana bagi hasil pajak serta bagi hasil bukan pajak/ sumber daya alam dari pemerintah pusat realisasinya tidak tercapai sebesar 82,06% dari terget Rp 2.839.125.943.171 dan lain-lain pendapatan yang sah sebesar 96,03% dari target Rp1.172.771.064.182.</w:t>
      </w:r>
      <w:r w:rsidR="00671BBC" w:rsidRPr="00EF780B">
        <w:rPr>
          <w:rFonts w:ascii="Times New Roman" w:eastAsia="Times New Roman" w:hAnsi="Times New Roman" w:cs="Times New Roman"/>
          <w:sz w:val="24"/>
          <w:szCs w:val="24"/>
          <w:lang w:val="en-US"/>
        </w:rPr>
        <w:t xml:space="preserve"> Akan tetapi, pada tahun 2016 mengalami kenaikan sebesar 7.03% </w:t>
      </w:r>
      <w:r w:rsidR="00671BBC" w:rsidRPr="00EF780B">
        <w:rPr>
          <w:rFonts w:ascii="Times New Roman" w:hAnsi="Times New Roman" w:cs="Times New Roman"/>
          <w:sz w:val="24"/>
          <w:szCs w:val="24"/>
        </w:rPr>
        <w:t>yaitu menjadi 9</w:t>
      </w:r>
      <w:r w:rsidR="00671BBC" w:rsidRPr="00EF780B">
        <w:rPr>
          <w:rFonts w:ascii="Times New Roman" w:hAnsi="Times New Roman" w:cs="Times New Roman"/>
          <w:sz w:val="24"/>
          <w:szCs w:val="24"/>
          <w:lang w:val="en-US"/>
        </w:rPr>
        <w:t>4</w:t>
      </w:r>
      <w:r w:rsidR="00671BBC" w:rsidRPr="00EF780B">
        <w:rPr>
          <w:rFonts w:ascii="Times New Roman" w:hAnsi="Times New Roman" w:cs="Times New Roman"/>
          <w:sz w:val="24"/>
          <w:szCs w:val="24"/>
        </w:rPr>
        <w:t>,</w:t>
      </w:r>
      <w:r w:rsidR="00671BBC" w:rsidRPr="00EF780B">
        <w:rPr>
          <w:rFonts w:ascii="Times New Roman" w:hAnsi="Times New Roman" w:cs="Times New Roman"/>
          <w:sz w:val="24"/>
          <w:szCs w:val="24"/>
          <w:lang w:val="en-US"/>
        </w:rPr>
        <w:t>05</w:t>
      </w:r>
      <w:r w:rsidR="00671BBC" w:rsidRPr="00EF780B">
        <w:rPr>
          <w:rFonts w:ascii="Times New Roman" w:hAnsi="Times New Roman" w:cs="Times New Roman"/>
          <w:sz w:val="24"/>
          <w:szCs w:val="24"/>
        </w:rPr>
        <w:t>%</w:t>
      </w:r>
      <w:r w:rsidR="00671BBC" w:rsidRPr="00EF780B">
        <w:rPr>
          <w:rFonts w:ascii="Times New Roman" w:hAnsi="Times New Roman" w:cs="Times New Roman"/>
          <w:sz w:val="24"/>
          <w:szCs w:val="24"/>
          <w:lang w:val="en-US"/>
        </w:rPr>
        <w:t>.</w:t>
      </w:r>
      <w:r w:rsidR="00671BBC" w:rsidRPr="00EF780B">
        <w:rPr>
          <w:rFonts w:ascii="Times New Roman" w:hAnsi="Times New Roman" w:cs="Times New Roman"/>
          <w:sz w:val="24"/>
          <w:szCs w:val="24"/>
        </w:rPr>
        <w:t xml:space="preserve"> </w:t>
      </w:r>
      <w:r w:rsidRPr="00EF780B">
        <w:rPr>
          <w:rFonts w:ascii="Times New Roman" w:eastAsia="Times New Roman" w:hAnsi="Times New Roman" w:cs="Times New Roman"/>
          <w:sz w:val="24"/>
          <w:szCs w:val="24"/>
          <w:lang w:val="en-US"/>
        </w:rPr>
        <w:t xml:space="preserve">Selanjutnya, </w:t>
      </w:r>
      <w:r w:rsidRPr="00EF780B">
        <w:rPr>
          <w:rFonts w:asciiTheme="majorBidi" w:hAnsiTheme="majorBidi" w:cstheme="majorBidi"/>
          <w:sz w:val="24"/>
          <w:szCs w:val="24"/>
          <w:lang w:val="en-US"/>
        </w:rPr>
        <w:t>Realisasi Anggaran Belanja</w:t>
      </w:r>
      <w:r w:rsidRPr="00EF780B">
        <w:rPr>
          <w:rFonts w:asciiTheme="majorBidi" w:hAnsiTheme="majorBidi" w:cstheme="majorBidi"/>
          <w:sz w:val="24"/>
          <w:szCs w:val="24"/>
        </w:rPr>
        <w:t xml:space="preserve"> Provinsi Sumatera Selatan dapat dilihat pada </w:t>
      </w:r>
      <w:r w:rsidRPr="00EF780B">
        <w:rPr>
          <w:rFonts w:asciiTheme="majorBidi" w:hAnsiTheme="majorBidi" w:cstheme="majorBidi"/>
          <w:sz w:val="24"/>
          <w:szCs w:val="24"/>
          <w:lang w:val="en-US"/>
        </w:rPr>
        <w:t>tabel 1.2.</w:t>
      </w:r>
    </w:p>
    <w:p w:rsidR="00843548" w:rsidRDefault="00843548" w:rsidP="006D2DD5">
      <w:pPr>
        <w:spacing w:after="0" w:line="360" w:lineRule="auto"/>
        <w:jc w:val="both"/>
        <w:rPr>
          <w:rFonts w:asciiTheme="majorBidi" w:hAnsiTheme="majorBidi" w:cstheme="majorBidi"/>
          <w:i/>
          <w:lang w:val="en-US"/>
        </w:rPr>
      </w:pPr>
    </w:p>
    <w:p w:rsidR="00D92A29" w:rsidRPr="00843548" w:rsidRDefault="00D92A29" w:rsidP="006D2DD5">
      <w:pPr>
        <w:spacing w:after="0" w:line="360" w:lineRule="auto"/>
        <w:jc w:val="both"/>
        <w:rPr>
          <w:rFonts w:asciiTheme="majorBidi" w:hAnsiTheme="majorBidi" w:cstheme="majorBidi"/>
          <w:i/>
          <w:lang w:val="en-US"/>
        </w:rPr>
      </w:pPr>
    </w:p>
    <w:p w:rsidR="00435BBB" w:rsidRPr="00A60D15" w:rsidRDefault="00435BBB" w:rsidP="00435BBB">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lastRenderedPageBreak/>
        <w:t>Tabel 1.</w:t>
      </w:r>
      <w:r>
        <w:rPr>
          <w:rFonts w:asciiTheme="majorBidi" w:hAnsiTheme="majorBidi" w:cstheme="majorBidi"/>
          <w:b/>
          <w:bCs/>
          <w:sz w:val="24"/>
          <w:szCs w:val="24"/>
          <w:lang w:val="en-US"/>
        </w:rPr>
        <w:t>2</w:t>
      </w:r>
    </w:p>
    <w:p w:rsidR="00435BBB" w:rsidRPr="00830578" w:rsidRDefault="00435BBB" w:rsidP="00435BBB">
      <w:pPr>
        <w:spacing w:after="0" w:line="240" w:lineRule="auto"/>
        <w:jc w:val="center"/>
        <w:rPr>
          <w:rFonts w:asciiTheme="majorBidi" w:hAnsiTheme="majorBidi" w:cstheme="majorBidi"/>
          <w:b/>
          <w:bCs/>
          <w:sz w:val="24"/>
          <w:szCs w:val="24"/>
        </w:rPr>
      </w:pPr>
      <w:r w:rsidRPr="00830578">
        <w:rPr>
          <w:rFonts w:asciiTheme="majorBidi" w:hAnsiTheme="majorBidi" w:cstheme="majorBidi"/>
          <w:b/>
          <w:bCs/>
          <w:sz w:val="24"/>
          <w:szCs w:val="24"/>
        </w:rPr>
        <w:t>Realisasi Anggaran</w:t>
      </w:r>
      <w:r>
        <w:rPr>
          <w:rFonts w:asciiTheme="majorBidi" w:hAnsiTheme="majorBidi" w:cstheme="majorBidi"/>
          <w:b/>
          <w:bCs/>
          <w:sz w:val="24"/>
          <w:szCs w:val="24"/>
          <w:lang w:val="en-US"/>
        </w:rPr>
        <w:t xml:space="preserve"> Belanja</w:t>
      </w:r>
      <w:r w:rsidRPr="00830578">
        <w:rPr>
          <w:rFonts w:asciiTheme="majorBidi" w:hAnsiTheme="majorBidi" w:cstheme="majorBidi"/>
          <w:b/>
          <w:bCs/>
          <w:sz w:val="24"/>
          <w:szCs w:val="24"/>
        </w:rPr>
        <w:t xml:space="preserve"> Provinsi Sumatera Selatan </w:t>
      </w:r>
    </w:p>
    <w:p w:rsidR="00435BBB" w:rsidRPr="00305259" w:rsidRDefault="00435BBB" w:rsidP="00435BBB">
      <w:pPr>
        <w:spacing w:after="0" w:line="240" w:lineRule="auto"/>
        <w:jc w:val="right"/>
        <w:rPr>
          <w:rFonts w:asciiTheme="majorBidi" w:hAnsiTheme="majorBidi" w:cstheme="majorBidi"/>
          <w:b/>
          <w:bCs/>
          <w:sz w:val="20"/>
          <w:szCs w:val="20"/>
        </w:rPr>
      </w:pPr>
      <w:r w:rsidRPr="00305259">
        <w:rPr>
          <w:rFonts w:asciiTheme="majorBidi" w:hAnsiTheme="majorBidi" w:cstheme="majorBidi"/>
          <w:b/>
          <w:bCs/>
          <w:sz w:val="20"/>
          <w:szCs w:val="20"/>
        </w:rPr>
        <w:t>Dalam (Rupiah)</w:t>
      </w:r>
    </w:p>
    <w:tbl>
      <w:tblPr>
        <w:tblStyle w:val="TableGrid"/>
        <w:tblW w:w="0" w:type="auto"/>
        <w:tblInd w:w="108" w:type="dxa"/>
        <w:tblLook w:val="04A0"/>
      </w:tblPr>
      <w:tblGrid>
        <w:gridCol w:w="897"/>
        <w:gridCol w:w="2505"/>
        <w:gridCol w:w="2650"/>
        <w:gridCol w:w="1932"/>
      </w:tblGrid>
      <w:tr w:rsidR="00435BBB" w:rsidRPr="00631355" w:rsidTr="008F3A62">
        <w:trPr>
          <w:trHeight w:val="675"/>
        </w:trPr>
        <w:tc>
          <w:tcPr>
            <w:tcW w:w="897" w:type="dxa"/>
            <w:vAlign w:val="center"/>
          </w:tcPr>
          <w:p w:rsidR="00435BBB" w:rsidRPr="00631355" w:rsidRDefault="00435BBB" w:rsidP="008F3A62">
            <w:pPr>
              <w:jc w:val="center"/>
              <w:rPr>
                <w:rFonts w:asciiTheme="majorBidi" w:hAnsiTheme="majorBidi" w:cstheme="majorBidi"/>
                <w:b/>
                <w:bCs/>
              </w:rPr>
            </w:pPr>
            <w:r w:rsidRPr="00631355">
              <w:rPr>
                <w:rFonts w:asciiTheme="majorBidi" w:hAnsiTheme="majorBidi" w:cstheme="majorBidi"/>
                <w:b/>
                <w:bCs/>
              </w:rPr>
              <w:t>Tahun</w:t>
            </w:r>
          </w:p>
        </w:tc>
        <w:tc>
          <w:tcPr>
            <w:tcW w:w="2505" w:type="dxa"/>
            <w:vAlign w:val="center"/>
          </w:tcPr>
          <w:p w:rsidR="00435BBB" w:rsidRPr="00631355" w:rsidRDefault="00435BBB" w:rsidP="008F3A62">
            <w:pPr>
              <w:jc w:val="center"/>
              <w:rPr>
                <w:rFonts w:asciiTheme="majorBidi" w:hAnsiTheme="majorBidi" w:cstheme="majorBidi"/>
                <w:b/>
                <w:bCs/>
              </w:rPr>
            </w:pPr>
            <w:r w:rsidRPr="00631355">
              <w:rPr>
                <w:rFonts w:asciiTheme="majorBidi" w:hAnsiTheme="majorBidi" w:cstheme="majorBidi"/>
                <w:b/>
                <w:bCs/>
              </w:rPr>
              <w:t>Anggaran</w:t>
            </w:r>
          </w:p>
        </w:tc>
        <w:tc>
          <w:tcPr>
            <w:tcW w:w="2650" w:type="dxa"/>
            <w:vAlign w:val="center"/>
          </w:tcPr>
          <w:p w:rsidR="00435BBB" w:rsidRPr="00631355" w:rsidRDefault="00435BBB" w:rsidP="008F3A62">
            <w:pPr>
              <w:jc w:val="center"/>
              <w:rPr>
                <w:rFonts w:asciiTheme="majorBidi" w:hAnsiTheme="majorBidi" w:cstheme="majorBidi"/>
                <w:b/>
                <w:bCs/>
              </w:rPr>
            </w:pPr>
            <w:r w:rsidRPr="00631355">
              <w:rPr>
                <w:rFonts w:asciiTheme="majorBidi" w:hAnsiTheme="majorBidi" w:cstheme="majorBidi"/>
                <w:b/>
                <w:bCs/>
              </w:rPr>
              <w:t>Realisasi</w:t>
            </w:r>
          </w:p>
        </w:tc>
        <w:tc>
          <w:tcPr>
            <w:tcW w:w="1932" w:type="dxa"/>
            <w:vAlign w:val="center"/>
          </w:tcPr>
          <w:p w:rsidR="00435BBB" w:rsidRPr="00631355" w:rsidRDefault="00435BBB" w:rsidP="008F3A62">
            <w:pPr>
              <w:jc w:val="center"/>
              <w:rPr>
                <w:rFonts w:asciiTheme="majorBidi" w:hAnsiTheme="majorBidi" w:cstheme="majorBidi"/>
                <w:b/>
                <w:bCs/>
              </w:rPr>
            </w:pPr>
            <w:r w:rsidRPr="00631355">
              <w:rPr>
                <w:rFonts w:asciiTheme="majorBidi" w:hAnsiTheme="majorBidi" w:cstheme="majorBidi"/>
                <w:b/>
                <w:bCs/>
              </w:rPr>
              <w:t>Pencapaian</w:t>
            </w:r>
          </w:p>
          <w:p w:rsidR="00435BBB" w:rsidRPr="00631355" w:rsidRDefault="00435BBB" w:rsidP="008F3A62">
            <w:pPr>
              <w:jc w:val="center"/>
              <w:rPr>
                <w:rFonts w:asciiTheme="majorBidi" w:hAnsiTheme="majorBidi" w:cstheme="majorBidi"/>
                <w:b/>
                <w:bCs/>
              </w:rPr>
            </w:pPr>
            <w:r w:rsidRPr="00631355">
              <w:rPr>
                <w:rFonts w:asciiTheme="majorBidi" w:hAnsiTheme="majorBidi" w:cstheme="majorBidi"/>
                <w:b/>
                <w:bCs/>
              </w:rPr>
              <w:t>(%)</w:t>
            </w:r>
          </w:p>
        </w:tc>
      </w:tr>
      <w:tr w:rsidR="00435BBB" w:rsidRPr="00631355" w:rsidTr="008F3A62">
        <w:tc>
          <w:tcPr>
            <w:tcW w:w="897" w:type="dxa"/>
            <w:vAlign w:val="center"/>
          </w:tcPr>
          <w:p w:rsidR="00435BBB" w:rsidRPr="00631355" w:rsidRDefault="00435BBB" w:rsidP="008F3A62">
            <w:pPr>
              <w:jc w:val="center"/>
              <w:rPr>
                <w:rFonts w:asciiTheme="majorBidi" w:hAnsiTheme="majorBidi" w:cstheme="majorBidi"/>
              </w:rPr>
            </w:pPr>
            <w:r w:rsidRPr="00631355">
              <w:rPr>
                <w:rFonts w:asciiTheme="majorBidi" w:hAnsiTheme="majorBidi" w:cstheme="majorBidi"/>
              </w:rPr>
              <w:t>2016</w:t>
            </w:r>
          </w:p>
        </w:tc>
        <w:tc>
          <w:tcPr>
            <w:tcW w:w="2505" w:type="dxa"/>
            <w:vAlign w:val="center"/>
          </w:tcPr>
          <w:p w:rsidR="00435BBB" w:rsidRPr="00631355" w:rsidRDefault="00435BBB" w:rsidP="008F3A62">
            <w:pPr>
              <w:jc w:val="center"/>
              <w:rPr>
                <w:rFonts w:asciiTheme="majorBidi" w:hAnsiTheme="majorBidi" w:cstheme="majorBidi"/>
                <w:lang w:val="en-US"/>
              </w:rPr>
            </w:pPr>
            <w:r w:rsidRPr="00631355">
              <w:rPr>
                <w:rFonts w:asciiTheme="majorBidi" w:hAnsiTheme="majorBidi" w:cstheme="majorBidi"/>
                <w:lang w:val="en-US"/>
              </w:rPr>
              <w:t>5.425.881.392.866,89</w:t>
            </w:r>
          </w:p>
        </w:tc>
        <w:tc>
          <w:tcPr>
            <w:tcW w:w="2650"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4.962.572.330.784,01</w:t>
            </w:r>
          </w:p>
        </w:tc>
        <w:tc>
          <w:tcPr>
            <w:tcW w:w="1932"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91,46</w:t>
            </w:r>
          </w:p>
        </w:tc>
      </w:tr>
      <w:tr w:rsidR="00435BBB" w:rsidRPr="00631355" w:rsidTr="008F3A62">
        <w:tc>
          <w:tcPr>
            <w:tcW w:w="897" w:type="dxa"/>
            <w:vAlign w:val="center"/>
          </w:tcPr>
          <w:p w:rsidR="00435BBB" w:rsidRPr="00631355" w:rsidRDefault="00435BBB" w:rsidP="008F3A62">
            <w:pPr>
              <w:jc w:val="center"/>
              <w:rPr>
                <w:rFonts w:asciiTheme="majorBidi" w:hAnsiTheme="majorBidi" w:cstheme="majorBidi"/>
              </w:rPr>
            </w:pPr>
            <w:r w:rsidRPr="00631355">
              <w:rPr>
                <w:rFonts w:asciiTheme="majorBidi" w:hAnsiTheme="majorBidi" w:cstheme="majorBidi"/>
              </w:rPr>
              <w:t>2015</w:t>
            </w:r>
          </w:p>
        </w:tc>
        <w:tc>
          <w:tcPr>
            <w:tcW w:w="2505" w:type="dxa"/>
            <w:vAlign w:val="center"/>
          </w:tcPr>
          <w:p w:rsidR="00435BBB" w:rsidRPr="00631355" w:rsidRDefault="00435BBB" w:rsidP="008F3A62">
            <w:pPr>
              <w:jc w:val="center"/>
              <w:rPr>
                <w:rFonts w:asciiTheme="majorBidi" w:hAnsiTheme="majorBidi" w:cstheme="majorBidi"/>
                <w:lang w:val="en-US"/>
              </w:rPr>
            </w:pPr>
            <w:r w:rsidRPr="00631355">
              <w:rPr>
                <w:rFonts w:asciiTheme="majorBidi" w:hAnsiTheme="majorBidi" w:cstheme="majorBidi"/>
                <w:lang w:val="en-US"/>
              </w:rPr>
              <w:t>5.609.583.728.080,00</w:t>
            </w:r>
          </w:p>
        </w:tc>
        <w:tc>
          <w:tcPr>
            <w:tcW w:w="2650"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4.497.889.160.889,22</w:t>
            </w:r>
          </w:p>
        </w:tc>
        <w:tc>
          <w:tcPr>
            <w:tcW w:w="1932"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80,18</w:t>
            </w:r>
          </w:p>
        </w:tc>
      </w:tr>
      <w:tr w:rsidR="00435BBB" w:rsidRPr="00631355" w:rsidTr="008F3A62">
        <w:tc>
          <w:tcPr>
            <w:tcW w:w="897" w:type="dxa"/>
            <w:vAlign w:val="center"/>
          </w:tcPr>
          <w:p w:rsidR="00435BBB" w:rsidRPr="00631355" w:rsidRDefault="00435BBB" w:rsidP="008F3A62">
            <w:pPr>
              <w:jc w:val="center"/>
              <w:rPr>
                <w:rFonts w:asciiTheme="majorBidi" w:hAnsiTheme="majorBidi" w:cstheme="majorBidi"/>
              </w:rPr>
            </w:pPr>
            <w:r w:rsidRPr="00631355">
              <w:rPr>
                <w:rFonts w:asciiTheme="majorBidi" w:hAnsiTheme="majorBidi" w:cstheme="majorBidi"/>
              </w:rPr>
              <w:t>2014</w:t>
            </w:r>
          </w:p>
        </w:tc>
        <w:tc>
          <w:tcPr>
            <w:tcW w:w="2505" w:type="dxa"/>
            <w:vAlign w:val="center"/>
          </w:tcPr>
          <w:p w:rsidR="00435BBB" w:rsidRPr="00631355" w:rsidRDefault="00435BBB" w:rsidP="008F3A62">
            <w:pPr>
              <w:jc w:val="center"/>
              <w:rPr>
                <w:rFonts w:asciiTheme="majorBidi" w:hAnsiTheme="majorBidi" w:cstheme="majorBidi"/>
                <w:lang w:val="en-US"/>
              </w:rPr>
            </w:pPr>
            <w:r w:rsidRPr="00631355">
              <w:rPr>
                <w:rFonts w:asciiTheme="majorBidi" w:hAnsiTheme="majorBidi" w:cstheme="majorBidi"/>
                <w:lang w:val="en-US"/>
              </w:rPr>
              <w:t>6.048.607.430.664,52</w:t>
            </w:r>
          </w:p>
        </w:tc>
        <w:tc>
          <w:tcPr>
            <w:tcW w:w="2650"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5.781.570.143.910,34</w:t>
            </w:r>
          </w:p>
        </w:tc>
        <w:tc>
          <w:tcPr>
            <w:tcW w:w="1932"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95,59</w:t>
            </w:r>
          </w:p>
        </w:tc>
      </w:tr>
      <w:tr w:rsidR="00435BBB" w:rsidRPr="00631355" w:rsidTr="008F3A62">
        <w:tc>
          <w:tcPr>
            <w:tcW w:w="897" w:type="dxa"/>
            <w:vAlign w:val="center"/>
          </w:tcPr>
          <w:p w:rsidR="00435BBB" w:rsidRPr="00631355" w:rsidRDefault="00435BBB" w:rsidP="008F3A62">
            <w:pPr>
              <w:jc w:val="center"/>
              <w:rPr>
                <w:rFonts w:asciiTheme="majorBidi" w:hAnsiTheme="majorBidi" w:cstheme="majorBidi"/>
              </w:rPr>
            </w:pPr>
            <w:r w:rsidRPr="00631355">
              <w:rPr>
                <w:rFonts w:asciiTheme="majorBidi" w:hAnsiTheme="majorBidi" w:cstheme="majorBidi"/>
              </w:rPr>
              <w:t>2013</w:t>
            </w:r>
          </w:p>
        </w:tc>
        <w:tc>
          <w:tcPr>
            <w:tcW w:w="2505" w:type="dxa"/>
            <w:vAlign w:val="center"/>
          </w:tcPr>
          <w:p w:rsidR="00435BBB" w:rsidRPr="00631355" w:rsidRDefault="00435BBB" w:rsidP="008F3A62">
            <w:pPr>
              <w:jc w:val="center"/>
              <w:rPr>
                <w:rFonts w:asciiTheme="majorBidi" w:hAnsiTheme="majorBidi" w:cstheme="majorBidi"/>
                <w:lang w:val="en-US"/>
              </w:rPr>
            </w:pPr>
            <w:r w:rsidRPr="00631355">
              <w:rPr>
                <w:rFonts w:asciiTheme="majorBidi" w:hAnsiTheme="majorBidi" w:cstheme="majorBidi"/>
                <w:lang w:val="en-US"/>
              </w:rPr>
              <w:t>6.221.526.149.006,89</w:t>
            </w:r>
          </w:p>
        </w:tc>
        <w:tc>
          <w:tcPr>
            <w:tcW w:w="2650"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5.678.703.610.531,20</w:t>
            </w:r>
          </w:p>
        </w:tc>
        <w:tc>
          <w:tcPr>
            <w:tcW w:w="1932" w:type="dxa"/>
            <w:vAlign w:val="center"/>
          </w:tcPr>
          <w:p w:rsidR="00435BBB" w:rsidRPr="00631355" w:rsidRDefault="004A1CF0" w:rsidP="008F3A62">
            <w:pPr>
              <w:jc w:val="center"/>
              <w:rPr>
                <w:rFonts w:asciiTheme="majorBidi" w:hAnsiTheme="majorBidi" w:cstheme="majorBidi"/>
                <w:lang w:val="en-US"/>
              </w:rPr>
            </w:pPr>
            <w:r w:rsidRPr="00631355">
              <w:rPr>
                <w:rFonts w:asciiTheme="majorBidi" w:hAnsiTheme="majorBidi" w:cstheme="majorBidi"/>
                <w:lang w:val="en-US"/>
              </w:rPr>
              <w:t>91,28</w:t>
            </w:r>
          </w:p>
        </w:tc>
      </w:tr>
    </w:tbl>
    <w:p w:rsidR="00A5035D" w:rsidRPr="00843548" w:rsidRDefault="00435BBB" w:rsidP="00E81C7B">
      <w:pPr>
        <w:spacing w:after="0" w:line="360" w:lineRule="auto"/>
        <w:jc w:val="both"/>
        <w:rPr>
          <w:rFonts w:asciiTheme="majorBidi" w:hAnsiTheme="majorBidi" w:cstheme="majorBidi"/>
          <w:i/>
          <w:lang w:val="en-US"/>
        </w:rPr>
      </w:pPr>
      <w:r w:rsidRPr="00FB42E6">
        <w:rPr>
          <w:rFonts w:asciiTheme="majorBidi" w:hAnsiTheme="majorBidi" w:cstheme="majorBidi"/>
          <w:i/>
        </w:rPr>
        <w:t xml:space="preserve">Sumber: Badan Pemeriksa Keuangan </w:t>
      </w:r>
      <w:r w:rsidR="003F7322">
        <w:rPr>
          <w:rFonts w:asciiTheme="majorBidi" w:hAnsiTheme="majorBidi" w:cstheme="majorBidi"/>
          <w:i/>
        </w:rPr>
        <w:t>Republik Indonesia, 2013 - 2016</w:t>
      </w:r>
    </w:p>
    <w:p w:rsidR="006D2DD5" w:rsidRPr="00EF780B" w:rsidRDefault="00843548" w:rsidP="00A5035D">
      <w:pPr>
        <w:spacing w:after="0" w:line="360" w:lineRule="auto"/>
        <w:ind w:firstLine="720"/>
        <w:jc w:val="both"/>
        <w:rPr>
          <w:rFonts w:ascii="Times New Roman" w:eastAsia="Times New Roman" w:hAnsi="Times New Roman" w:cs="Times New Roman"/>
          <w:sz w:val="24"/>
          <w:szCs w:val="24"/>
          <w:lang w:val="en-US"/>
        </w:rPr>
      </w:pPr>
      <w:r w:rsidRPr="00EF780B">
        <w:rPr>
          <w:rFonts w:ascii="Times New Roman" w:hAnsi="Times New Roman" w:cs="Times New Roman"/>
          <w:sz w:val="24"/>
          <w:szCs w:val="24"/>
        </w:rPr>
        <w:t>Bedasarkan Tabel 1</w:t>
      </w:r>
      <w:r w:rsidRPr="00EF780B">
        <w:rPr>
          <w:rFonts w:ascii="Times New Roman" w:hAnsi="Times New Roman" w:cs="Times New Roman"/>
          <w:sz w:val="24"/>
          <w:szCs w:val="24"/>
          <w:lang w:val="en-US"/>
        </w:rPr>
        <w:t>.2</w:t>
      </w:r>
      <w:r w:rsidRPr="00EF780B">
        <w:rPr>
          <w:rFonts w:ascii="Times New Roman" w:hAnsi="Times New Roman" w:cs="Times New Roman"/>
          <w:sz w:val="24"/>
          <w:szCs w:val="24"/>
        </w:rPr>
        <w:t>, terlihat bahwa</w:t>
      </w:r>
      <w:r w:rsidR="00671BBC" w:rsidRPr="00EF780B">
        <w:rPr>
          <w:rFonts w:ascii="Times New Roman" w:hAnsi="Times New Roman" w:cs="Times New Roman"/>
          <w:sz w:val="24"/>
          <w:szCs w:val="24"/>
          <w:lang w:val="en-US"/>
        </w:rPr>
        <w:t xml:space="preserve"> dari</w:t>
      </w:r>
      <w:r w:rsidR="00671BBC" w:rsidRPr="00EF780B">
        <w:rPr>
          <w:rFonts w:ascii="Times New Roman" w:hAnsi="Times New Roman" w:cs="Times New Roman"/>
          <w:sz w:val="24"/>
          <w:szCs w:val="24"/>
        </w:rPr>
        <w:t xml:space="preserve"> penggunaan anggaran pada tahun 2013 yang pencapaiannya sebesar 91,2</w:t>
      </w:r>
      <w:r w:rsidR="00671BBC" w:rsidRPr="00EF780B">
        <w:rPr>
          <w:rFonts w:ascii="Times New Roman" w:hAnsi="Times New Roman" w:cs="Times New Roman"/>
          <w:sz w:val="24"/>
          <w:szCs w:val="24"/>
          <w:lang w:val="en-US"/>
        </w:rPr>
        <w:t>8</w:t>
      </w:r>
      <w:r w:rsidR="00671BBC" w:rsidRPr="00EF780B">
        <w:rPr>
          <w:rFonts w:ascii="Times New Roman" w:hAnsi="Times New Roman" w:cs="Times New Roman"/>
          <w:sz w:val="24"/>
          <w:szCs w:val="24"/>
        </w:rPr>
        <w:t xml:space="preserve">% dan pada tahun 2014 mengalami kenaikan realisasi anggaran sebesar </w:t>
      </w:r>
      <w:r w:rsidR="00671BBC" w:rsidRPr="00EF780B">
        <w:rPr>
          <w:rFonts w:ascii="Times New Roman" w:hAnsi="Times New Roman" w:cs="Times New Roman"/>
          <w:sz w:val="24"/>
          <w:szCs w:val="24"/>
          <w:lang w:val="en-US"/>
        </w:rPr>
        <w:t>4,31</w:t>
      </w:r>
      <w:r w:rsidR="00671BBC" w:rsidRPr="00EF780B">
        <w:rPr>
          <w:rFonts w:ascii="Times New Roman" w:hAnsi="Times New Roman" w:cs="Times New Roman"/>
          <w:sz w:val="24"/>
          <w:szCs w:val="24"/>
        </w:rPr>
        <w:t>%</w:t>
      </w:r>
      <w:r w:rsidR="00671BBC" w:rsidRPr="00EF780B">
        <w:rPr>
          <w:rFonts w:ascii="Times New Roman" w:hAnsi="Times New Roman" w:cs="Times New Roman"/>
          <w:sz w:val="24"/>
          <w:szCs w:val="24"/>
          <w:lang w:val="en-US"/>
        </w:rPr>
        <w:t xml:space="preserve"> </w:t>
      </w:r>
      <w:r w:rsidR="00671BBC" w:rsidRPr="00EF780B">
        <w:rPr>
          <w:rFonts w:ascii="Times New Roman" w:hAnsi="Times New Roman" w:cs="Times New Roman"/>
          <w:sz w:val="24"/>
          <w:szCs w:val="24"/>
        </w:rPr>
        <w:t>yaitu menjadi 9</w:t>
      </w:r>
      <w:r w:rsidR="00671BBC" w:rsidRPr="00EF780B">
        <w:rPr>
          <w:rFonts w:ascii="Times New Roman" w:hAnsi="Times New Roman" w:cs="Times New Roman"/>
          <w:sz w:val="24"/>
          <w:szCs w:val="24"/>
          <w:lang w:val="en-US"/>
        </w:rPr>
        <w:t>5</w:t>
      </w:r>
      <w:r w:rsidR="00671BBC" w:rsidRPr="00EF780B">
        <w:rPr>
          <w:rFonts w:ascii="Times New Roman" w:hAnsi="Times New Roman" w:cs="Times New Roman"/>
          <w:sz w:val="24"/>
          <w:szCs w:val="24"/>
        </w:rPr>
        <w:t>,</w:t>
      </w:r>
      <w:r w:rsidR="00671BBC" w:rsidRPr="00EF780B">
        <w:rPr>
          <w:rFonts w:ascii="Times New Roman" w:hAnsi="Times New Roman" w:cs="Times New Roman"/>
          <w:sz w:val="24"/>
          <w:szCs w:val="24"/>
          <w:lang w:val="en-US"/>
        </w:rPr>
        <w:t>59</w:t>
      </w:r>
      <w:r w:rsidR="00671BBC" w:rsidRPr="00EF780B">
        <w:rPr>
          <w:rFonts w:ascii="Times New Roman" w:hAnsi="Times New Roman" w:cs="Times New Roman"/>
          <w:sz w:val="24"/>
          <w:szCs w:val="24"/>
        </w:rPr>
        <w:t>%</w:t>
      </w:r>
      <w:r w:rsidR="00671BBC" w:rsidRPr="00EF780B">
        <w:rPr>
          <w:rFonts w:ascii="Times New Roman" w:hAnsi="Times New Roman" w:cs="Times New Roman"/>
          <w:sz w:val="24"/>
          <w:szCs w:val="24"/>
          <w:lang w:val="en-US"/>
        </w:rPr>
        <w:t>.</w:t>
      </w:r>
      <w:r w:rsidR="00671BBC" w:rsidRPr="00EF780B">
        <w:rPr>
          <w:rFonts w:ascii="Times New Roman" w:hAnsi="Times New Roman" w:cs="Times New Roman"/>
          <w:sz w:val="24"/>
          <w:szCs w:val="24"/>
        </w:rPr>
        <w:t xml:space="preserve"> </w:t>
      </w:r>
      <w:r w:rsidR="00671BBC" w:rsidRPr="00EF780B">
        <w:rPr>
          <w:rFonts w:ascii="Times New Roman" w:hAnsi="Times New Roman" w:cs="Times New Roman"/>
          <w:sz w:val="24"/>
          <w:szCs w:val="24"/>
          <w:lang w:val="en-US"/>
        </w:rPr>
        <w:t>S</w:t>
      </w:r>
      <w:r w:rsidR="00671BBC" w:rsidRPr="00EF780B">
        <w:rPr>
          <w:rFonts w:ascii="Times New Roman" w:hAnsi="Times New Roman" w:cs="Times New Roman"/>
          <w:sz w:val="24"/>
          <w:szCs w:val="24"/>
        </w:rPr>
        <w:t>edangkan pada tahun 2015 terjadi penurunan menjadi 8</w:t>
      </w:r>
      <w:r w:rsidR="00671BBC" w:rsidRPr="00EF780B">
        <w:rPr>
          <w:rFonts w:ascii="Times New Roman" w:hAnsi="Times New Roman" w:cs="Times New Roman"/>
          <w:sz w:val="24"/>
          <w:szCs w:val="24"/>
          <w:lang w:val="en-US"/>
        </w:rPr>
        <w:t>0</w:t>
      </w:r>
      <w:r w:rsidR="00671BBC" w:rsidRPr="00EF780B">
        <w:rPr>
          <w:rFonts w:ascii="Times New Roman" w:hAnsi="Times New Roman" w:cs="Times New Roman"/>
          <w:sz w:val="24"/>
          <w:szCs w:val="24"/>
        </w:rPr>
        <w:t>,</w:t>
      </w:r>
      <w:r w:rsidR="00671BBC" w:rsidRPr="00EF780B">
        <w:rPr>
          <w:rFonts w:ascii="Times New Roman" w:hAnsi="Times New Roman" w:cs="Times New Roman"/>
          <w:sz w:val="24"/>
          <w:szCs w:val="24"/>
          <w:lang w:val="en-US"/>
        </w:rPr>
        <w:t>18</w:t>
      </w:r>
      <w:r w:rsidR="00671BBC" w:rsidRPr="00EF780B">
        <w:rPr>
          <w:rFonts w:ascii="Times New Roman" w:hAnsi="Times New Roman" w:cs="Times New Roman"/>
          <w:sz w:val="24"/>
          <w:szCs w:val="24"/>
        </w:rPr>
        <w:t>%</w:t>
      </w:r>
      <w:r w:rsidR="00671BBC" w:rsidRPr="00EF780B">
        <w:rPr>
          <w:rFonts w:ascii="Times New Roman" w:hAnsi="Times New Roman" w:cs="Times New Roman"/>
          <w:sz w:val="24"/>
          <w:szCs w:val="24"/>
          <w:lang w:val="en-US"/>
        </w:rPr>
        <w:t>.</w:t>
      </w:r>
      <w:r w:rsidRPr="00EF780B">
        <w:rPr>
          <w:rFonts w:ascii="Times New Roman" w:hAnsi="Times New Roman" w:cs="Times New Roman"/>
          <w:sz w:val="24"/>
          <w:szCs w:val="24"/>
        </w:rPr>
        <w:t xml:space="preserve"> </w:t>
      </w:r>
      <w:r w:rsidR="00671BBC" w:rsidRPr="00EF780B">
        <w:rPr>
          <w:rFonts w:ascii="Times New Roman" w:eastAsia="Times New Roman" w:hAnsi="Times New Roman" w:cs="Times New Roman"/>
          <w:sz w:val="24"/>
          <w:szCs w:val="24"/>
          <w:lang w:val="en-US"/>
        </w:rPr>
        <w:t>Hal ini</w:t>
      </w:r>
      <w:r w:rsidR="00757ABA" w:rsidRPr="00EF780B">
        <w:rPr>
          <w:rFonts w:ascii="Times New Roman" w:eastAsia="Times New Roman" w:hAnsi="Times New Roman" w:cs="Times New Roman"/>
          <w:sz w:val="24"/>
          <w:szCs w:val="24"/>
          <w:lang w:val="en-US"/>
        </w:rPr>
        <w:t xml:space="preserve"> </w:t>
      </w:r>
      <w:r w:rsidR="00305259" w:rsidRPr="00EF780B">
        <w:rPr>
          <w:rFonts w:ascii="Times New Roman" w:eastAsia="Times New Roman" w:hAnsi="Times New Roman" w:cs="Times New Roman"/>
          <w:sz w:val="24"/>
          <w:szCs w:val="24"/>
          <w:lang w:val="en-US"/>
        </w:rPr>
        <w:t>disebabkan tidak terealisasinya beberapa target pendapatan daerah maupun pembiayaan daerah yang m</w:t>
      </w:r>
      <w:r w:rsidR="00671BBC" w:rsidRPr="00EF780B">
        <w:rPr>
          <w:rFonts w:ascii="Times New Roman" w:eastAsia="Times New Roman" w:hAnsi="Times New Roman" w:cs="Times New Roman"/>
          <w:sz w:val="24"/>
          <w:szCs w:val="24"/>
          <w:lang w:val="en-US"/>
        </w:rPr>
        <w:t>engakibatkan beberapa kegiatan P</w:t>
      </w:r>
      <w:r w:rsidR="00305259" w:rsidRPr="00EF780B">
        <w:rPr>
          <w:rFonts w:ascii="Times New Roman" w:eastAsia="Times New Roman" w:hAnsi="Times New Roman" w:cs="Times New Roman"/>
          <w:sz w:val="24"/>
          <w:szCs w:val="24"/>
          <w:lang w:val="en-US"/>
        </w:rPr>
        <w:t>rovinsi Sumsel ditunda pembayaranya secara rinci realisasi b</w:t>
      </w:r>
      <w:r w:rsidR="00E81C7B" w:rsidRPr="00EF780B">
        <w:rPr>
          <w:rFonts w:ascii="Times New Roman" w:eastAsia="Times New Roman" w:hAnsi="Times New Roman" w:cs="Times New Roman"/>
          <w:sz w:val="24"/>
          <w:szCs w:val="24"/>
          <w:lang w:val="en-US"/>
        </w:rPr>
        <w:t xml:space="preserve">elanja daerah tersebut terdiri </w:t>
      </w:r>
      <w:r w:rsidR="00757ABA" w:rsidRPr="00EF780B">
        <w:rPr>
          <w:rFonts w:ascii="Times New Roman" w:eastAsia="Times New Roman" w:hAnsi="Times New Roman" w:cs="Times New Roman"/>
          <w:sz w:val="24"/>
          <w:szCs w:val="24"/>
          <w:lang w:val="en-US"/>
        </w:rPr>
        <w:t>dari b</w:t>
      </w:r>
      <w:r w:rsidR="00305259" w:rsidRPr="00EF780B">
        <w:rPr>
          <w:rFonts w:ascii="Times New Roman" w:eastAsia="Times New Roman" w:hAnsi="Times New Roman" w:cs="Times New Roman"/>
          <w:sz w:val="24"/>
          <w:szCs w:val="24"/>
          <w:lang w:val="en-US"/>
        </w:rPr>
        <w:t xml:space="preserve">elanja tidak langsung </w:t>
      </w:r>
      <w:r w:rsidR="00757ABA" w:rsidRPr="00EF780B">
        <w:rPr>
          <w:rFonts w:ascii="Times New Roman" w:eastAsia="Times New Roman" w:hAnsi="Times New Roman" w:cs="Times New Roman"/>
          <w:sz w:val="24"/>
          <w:szCs w:val="24"/>
          <w:lang w:val="en-US"/>
        </w:rPr>
        <w:t>dan</w:t>
      </w:r>
      <w:r w:rsidR="00E81C7B" w:rsidRPr="00EF780B">
        <w:rPr>
          <w:rFonts w:ascii="Times New Roman" w:eastAsia="Times New Roman" w:hAnsi="Times New Roman" w:cs="Times New Roman"/>
          <w:sz w:val="24"/>
          <w:szCs w:val="24"/>
          <w:lang w:val="en-US"/>
        </w:rPr>
        <w:t xml:space="preserve"> </w:t>
      </w:r>
      <w:r w:rsidR="00757ABA" w:rsidRPr="00EF780B">
        <w:rPr>
          <w:rFonts w:ascii="Times New Roman" w:eastAsia="Times New Roman" w:hAnsi="Times New Roman" w:cs="Times New Roman"/>
          <w:sz w:val="24"/>
          <w:szCs w:val="24"/>
          <w:lang w:val="en-US"/>
        </w:rPr>
        <w:t>b</w:t>
      </w:r>
      <w:r w:rsidR="00305259" w:rsidRPr="00EF780B">
        <w:rPr>
          <w:rFonts w:ascii="Times New Roman" w:eastAsia="Times New Roman" w:hAnsi="Times New Roman" w:cs="Times New Roman"/>
          <w:sz w:val="24"/>
          <w:szCs w:val="24"/>
          <w:lang w:val="en-US"/>
        </w:rPr>
        <w:t>elanja langsung sebesar</w:t>
      </w:r>
      <w:r w:rsidR="00757ABA" w:rsidRPr="00EF780B">
        <w:rPr>
          <w:rFonts w:ascii="Times New Roman" w:eastAsia="Times New Roman" w:hAnsi="Times New Roman" w:cs="Times New Roman"/>
          <w:sz w:val="24"/>
          <w:szCs w:val="24"/>
          <w:lang w:val="en-US"/>
        </w:rPr>
        <w:t xml:space="preserve">. </w:t>
      </w:r>
      <w:r w:rsidR="00305259" w:rsidRPr="00EF780B">
        <w:rPr>
          <w:rFonts w:ascii="Times New Roman" w:eastAsia="Times New Roman" w:hAnsi="Times New Roman" w:cs="Times New Roman"/>
          <w:sz w:val="24"/>
          <w:szCs w:val="24"/>
          <w:lang w:val="en-US"/>
        </w:rPr>
        <w:t xml:space="preserve">Sedangkan dari sisi penerimaan pembiayaan terealisasi </w:t>
      </w:r>
      <w:r w:rsidR="00EF780B" w:rsidRPr="00EF780B">
        <w:rPr>
          <w:rFonts w:ascii="Times New Roman" w:eastAsia="Times New Roman" w:hAnsi="Times New Roman" w:cs="Times New Roman"/>
          <w:sz w:val="24"/>
          <w:szCs w:val="24"/>
          <w:lang w:val="en-US"/>
        </w:rPr>
        <w:t xml:space="preserve">sebesar </w:t>
      </w:r>
      <w:r w:rsidR="00305259" w:rsidRPr="00EF780B">
        <w:rPr>
          <w:rFonts w:ascii="Times New Roman" w:eastAsia="Times New Roman" w:hAnsi="Times New Roman" w:cs="Times New Roman"/>
          <w:sz w:val="24"/>
          <w:szCs w:val="24"/>
          <w:lang w:val="en-US"/>
        </w:rPr>
        <w:t>35,41</w:t>
      </w:r>
      <w:r w:rsidR="00E81C7B" w:rsidRPr="00EF780B">
        <w:rPr>
          <w:rFonts w:ascii="Times New Roman" w:eastAsia="Times New Roman" w:hAnsi="Times New Roman" w:cs="Times New Roman"/>
          <w:sz w:val="24"/>
          <w:szCs w:val="24"/>
          <w:lang w:val="en-US"/>
        </w:rPr>
        <w:t>%</w:t>
      </w:r>
      <w:r w:rsidR="00305259" w:rsidRPr="00EF780B">
        <w:rPr>
          <w:rFonts w:ascii="Times New Roman" w:eastAsia="Times New Roman" w:hAnsi="Times New Roman" w:cs="Times New Roman"/>
          <w:sz w:val="24"/>
          <w:szCs w:val="24"/>
          <w:lang w:val="en-US"/>
        </w:rPr>
        <w:t xml:space="preserve"> d</w:t>
      </w:r>
      <w:r w:rsidR="00757ABA" w:rsidRPr="00EF780B">
        <w:rPr>
          <w:rFonts w:ascii="Times New Roman" w:eastAsia="Times New Roman" w:hAnsi="Times New Roman" w:cs="Times New Roman"/>
          <w:sz w:val="24"/>
          <w:szCs w:val="24"/>
          <w:lang w:val="en-US"/>
        </w:rPr>
        <w:t xml:space="preserve">ari target Rp389.885.472.024.85, </w:t>
      </w:r>
      <w:r w:rsidR="00305259" w:rsidRPr="00EF780B">
        <w:rPr>
          <w:rFonts w:ascii="Times New Roman" w:eastAsia="Times New Roman" w:hAnsi="Times New Roman" w:cs="Times New Roman"/>
          <w:sz w:val="24"/>
          <w:szCs w:val="24"/>
          <w:lang w:val="en-US"/>
        </w:rPr>
        <w:t>dikarenakan piutang pajak daerah PKB hanya terealisasi 25,45</w:t>
      </w:r>
      <w:r w:rsidR="00E81C7B" w:rsidRPr="00EF780B">
        <w:rPr>
          <w:rFonts w:ascii="Times New Roman" w:eastAsia="Times New Roman" w:hAnsi="Times New Roman" w:cs="Times New Roman"/>
          <w:sz w:val="24"/>
          <w:szCs w:val="24"/>
          <w:lang w:val="en-US"/>
        </w:rPr>
        <w:t>%</w:t>
      </w:r>
      <w:r w:rsidR="00305259" w:rsidRPr="00EF780B">
        <w:rPr>
          <w:rFonts w:ascii="Times New Roman" w:eastAsia="Times New Roman" w:hAnsi="Times New Roman" w:cs="Times New Roman"/>
          <w:sz w:val="24"/>
          <w:szCs w:val="24"/>
          <w:lang w:val="en-US"/>
        </w:rPr>
        <w:t>.</w:t>
      </w:r>
      <w:r w:rsidR="00E81C7B" w:rsidRPr="00EF780B">
        <w:rPr>
          <w:rFonts w:ascii="Times New Roman" w:eastAsia="Times New Roman" w:hAnsi="Times New Roman" w:cs="Times New Roman"/>
          <w:sz w:val="24"/>
          <w:szCs w:val="24"/>
          <w:lang w:val="en-US"/>
        </w:rPr>
        <w:t xml:space="preserve"> </w:t>
      </w:r>
      <w:r w:rsidR="00305259" w:rsidRPr="00EF780B">
        <w:rPr>
          <w:rFonts w:ascii="Times New Roman" w:eastAsia="Times New Roman" w:hAnsi="Times New Roman" w:cs="Times New Roman"/>
          <w:sz w:val="24"/>
          <w:szCs w:val="24"/>
          <w:lang w:val="en-US"/>
        </w:rPr>
        <w:t>Untuk pengeluaran pembiayaan terealisasi</w:t>
      </w:r>
      <w:r w:rsidR="00E81C7B" w:rsidRPr="00EF780B">
        <w:rPr>
          <w:rFonts w:ascii="Times New Roman" w:eastAsia="Times New Roman" w:hAnsi="Times New Roman" w:cs="Times New Roman"/>
          <w:sz w:val="24"/>
          <w:szCs w:val="24"/>
          <w:lang w:val="en-US"/>
        </w:rPr>
        <w:t xml:space="preserve"> sebesar</w:t>
      </w:r>
      <w:r w:rsidR="00305259" w:rsidRPr="00EF780B">
        <w:rPr>
          <w:rFonts w:ascii="Times New Roman" w:eastAsia="Times New Roman" w:hAnsi="Times New Roman" w:cs="Times New Roman"/>
          <w:sz w:val="24"/>
          <w:szCs w:val="24"/>
          <w:lang w:val="en-US"/>
        </w:rPr>
        <w:t xml:space="preserve"> 99,72</w:t>
      </w:r>
      <w:r w:rsidR="00E81C7B" w:rsidRPr="00EF780B">
        <w:rPr>
          <w:rFonts w:ascii="Times New Roman" w:eastAsia="Times New Roman" w:hAnsi="Times New Roman" w:cs="Times New Roman"/>
          <w:sz w:val="24"/>
          <w:szCs w:val="24"/>
          <w:lang w:val="en-US"/>
        </w:rPr>
        <w:t>%</w:t>
      </w:r>
      <w:r w:rsidR="00305259" w:rsidRPr="00EF780B">
        <w:rPr>
          <w:rFonts w:ascii="Times New Roman" w:eastAsia="Times New Roman" w:hAnsi="Times New Roman" w:cs="Times New Roman"/>
          <w:sz w:val="24"/>
          <w:szCs w:val="24"/>
          <w:lang w:val="en-US"/>
        </w:rPr>
        <w:t xml:space="preserve"> dari target Rp</w:t>
      </w:r>
      <w:r w:rsidR="00757ABA" w:rsidRPr="00EF780B">
        <w:rPr>
          <w:rFonts w:ascii="Times New Roman" w:eastAsia="Times New Roman" w:hAnsi="Times New Roman" w:cs="Times New Roman"/>
          <w:sz w:val="24"/>
          <w:szCs w:val="24"/>
          <w:lang w:val="en-US"/>
        </w:rPr>
        <w:t xml:space="preserve"> </w:t>
      </w:r>
      <w:r w:rsidR="00305259" w:rsidRPr="00EF780B">
        <w:rPr>
          <w:rFonts w:ascii="Times New Roman" w:eastAsia="Times New Roman" w:hAnsi="Times New Roman" w:cs="Times New Roman"/>
          <w:sz w:val="24"/>
          <w:szCs w:val="24"/>
          <w:lang w:val="en-US"/>
        </w:rPr>
        <w:t xml:space="preserve">821.140.751.182.39 sehingga terdapat sisa lebih atau silpa tahun anggaran 2015 </w:t>
      </w:r>
      <w:r w:rsidR="00EF780B" w:rsidRPr="00EF780B">
        <w:rPr>
          <w:rFonts w:ascii="Times New Roman" w:eastAsia="Times New Roman" w:hAnsi="Times New Roman" w:cs="Times New Roman"/>
          <w:sz w:val="24"/>
          <w:szCs w:val="24"/>
          <w:lang w:val="en-US"/>
        </w:rPr>
        <w:t xml:space="preserve">sebesar </w:t>
      </w:r>
      <w:r w:rsidR="00305259" w:rsidRPr="00EF780B">
        <w:rPr>
          <w:rFonts w:ascii="Times New Roman" w:eastAsia="Times New Roman" w:hAnsi="Times New Roman" w:cs="Times New Roman"/>
          <w:sz w:val="24"/>
          <w:szCs w:val="24"/>
          <w:lang w:val="en-US"/>
        </w:rPr>
        <w:t>Rp 19.156.043.934.64.</w:t>
      </w:r>
      <w:r w:rsidR="00D90D62">
        <w:rPr>
          <w:rFonts w:ascii="Times New Roman" w:eastAsia="Times New Roman" w:hAnsi="Times New Roman" w:cs="Times New Roman"/>
          <w:sz w:val="24"/>
          <w:szCs w:val="24"/>
          <w:lang w:val="en-US"/>
        </w:rPr>
        <w:t xml:space="preserve"> </w:t>
      </w:r>
      <w:r w:rsidR="00D90D62" w:rsidRPr="00EF780B">
        <w:rPr>
          <w:rFonts w:ascii="Times New Roman" w:eastAsia="Times New Roman" w:hAnsi="Times New Roman" w:cs="Times New Roman"/>
          <w:sz w:val="24"/>
          <w:szCs w:val="24"/>
          <w:lang w:val="en-US"/>
        </w:rPr>
        <w:t>Akan tetapi, pada tahun 2</w:t>
      </w:r>
      <w:r w:rsidR="00D90D62">
        <w:rPr>
          <w:rFonts w:ascii="Times New Roman" w:eastAsia="Times New Roman" w:hAnsi="Times New Roman" w:cs="Times New Roman"/>
          <w:sz w:val="24"/>
          <w:szCs w:val="24"/>
          <w:lang w:val="en-US"/>
        </w:rPr>
        <w:t>016 mengalami kenaikan sebesar 11,28</w:t>
      </w:r>
      <w:r w:rsidR="00D90D62" w:rsidRPr="00EF780B">
        <w:rPr>
          <w:rFonts w:ascii="Times New Roman" w:eastAsia="Times New Roman" w:hAnsi="Times New Roman" w:cs="Times New Roman"/>
          <w:sz w:val="24"/>
          <w:szCs w:val="24"/>
          <w:lang w:val="en-US"/>
        </w:rPr>
        <w:t xml:space="preserve">% </w:t>
      </w:r>
      <w:r w:rsidR="00D90D62" w:rsidRPr="00EF780B">
        <w:rPr>
          <w:rFonts w:ascii="Times New Roman" w:hAnsi="Times New Roman" w:cs="Times New Roman"/>
          <w:sz w:val="24"/>
          <w:szCs w:val="24"/>
        </w:rPr>
        <w:t>yaitu menjadi 9</w:t>
      </w:r>
      <w:r w:rsidR="00D90D62">
        <w:rPr>
          <w:rFonts w:ascii="Times New Roman" w:hAnsi="Times New Roman" w:cs="Times New Roman"/>
          <w:sz w:val="24"/>
          <w:szCs w:val="24"/>
          <w:lang w:val="en-US"/>
        </w:rPr>
        <w:t>1</w:t>
      </w:r>
      <w:r w:rsidR="00D90D62" w:rsidRPr="00EF780B">
        <w:rPr>
          <w:rFonts w:ascii="Times New Roman" w:hAnsi="Times New Roman" w:cs="Times New Roman"/>
          <w:sz w:val="24"/>
          <w:szCs w:val="24"/>
        </w:rPr>
        <w:t>,</w:t>
      </w:r>
      <w:r w:rsidR="00D90D62">
        <w:rPr>
          <w:rFonts w:ascii="Times New Roman" w:hAnsi="Times New Roman" w:cs="Times New Roman"/>
          <w:sz w:val="24"/>
          <w:szCs w:val="24"/>
          <w:lang w:val="en-US"/>
        </w:rPr>
        <w:t>46</w:t>
      </w:r>
      <w:r w:rsidR="00D90D62" w:rsidRPr="00EF780B">
        <w:rPr>
          <w:rFonts w:ascii="Times New Roman" w:hAnsi="Times New Roman" w:cs="Times New Roman"/>
          <w:sz w:val="24"/>
          <w:szCs w:val="24"/>
        </w:rPr>
        <w:t>%</w:t>
      </w:r>
      <w:r w:rsidR="00D90D62" w:rsidRPr="00EF780B">
        <w:rPr>
          <w:rFonts w:ascii="Times New Roman" w:hAnsi="Times New Roman" w:cs="Times New Roman"/>
          <w:sz w:val="24"/>
          <w:szCs w:val="24"/>
          <w:lang w:val="en-US"/>
        </w:rPr>
        <w:t>.</w:t>
      </w:r>
      <w:r w:rsidR="00D90D62" w:rsidRPr="00EF780B">
        <w:rPr>
          <w:rFonts w:ascii="Times New Roman" w:hAnsi="Times New Roman" w:cs="Times New Roman"/>
          <w:sz w:val="24"/>
          <w:szCs w:val="24"/>
        </w:rPr>
        <w:t xml:space="preserve"> </w:t>
      </w:r>
      <w:r w:rsidR="00E81C7B" w:rsidRPr="00EF780B">
        <w:rPr>
          <w:rFonts w:ascii="Times New Roman" w:eastAsia="Times New Roman" w:hAnsi="Times New Roman" w:cs="Times New Roman"/>
          <w:sz w:val="24"/>
          <w:szCs w:val="24"/>
          <w:lang w:val="en-US"/>
        </w:rPr>
        <w:t xml:space="preserve"> </w:t>
      </w:r>
    </w:p>
    <w:p w:rsidR="00EF780B" w:rsidRDefault="006D2DD5" w:rsidP="00EF780B">
      <w:pPr>
        <w:spacing w:after="0" w:line="360" w:lineRule="auto"/>
        <w:ind w:firstLine="634"/>
        <w:jc w:val="both"/>
        <w:rPr>
          <w:rFonts w:ascii="Times New Roman" w:hAnsi="Times New Roman" w:cs="Times New Roman"/>
          <w:sz w:val="24"/>
          <w:szCs w:val="24"/>
        </w:rPr>
      </w:pPr>
      <w:r>
        <w:rPr>
          <w:rFonts w:asciiTheme="majorBidi" w:eastAsia="Times New Roman" w:hAnsiTheme="majorBidi" w:cstheme="majorBidi"/>
          <w:color w:val="000000"/>
          <w:sz w:val="24"/>
          <w:szCs w:val="24"/>
          <w:lang w:eastAsia="id-ID"/>
        </w:rPr>
        <w:tab/>
      </w:r>
      <w:r w:rsidR="00776A27">
        <w:rPr>
          <w:rFonts w:asciiTheme="majorBidi" w:hAnsiTheme="majorBidi" w:cstheme="majorBidi"/>
          <w:sz w:val="24"/>
          <w:szCs w:val="24"/>
          <w:lang w:val="en-US"/>
        </w:rPr>
        <w:t>P</w:t>
      </w:r>
      <w:r w:rsidR="000440A5">
        <w:rPr>
          <w:rFonts w:asciiTheme="majorBidi" w:hAnsiTheme="majorBidi" w:cstheme="majorBidi"/>
          <w:sz w:val="24"/>
          <w:szCs w:val="24"/>
        </w:rPr>
        <w:t>enelitian</w:t>
      </w:r>
      <w:r w:rsidR="00776A27">
        <w:rPr>
          <w:rFonts w:asciiTheme="majorBidi" w:hAnsiTheme="majorBidi" w:cstheme="majorBidi"/>
          <w:sz w:val="24"/>
          <w:szCs w:val="24"/>
          <w:lang w:val="en-US"/>
        </w:rPr>
        <w:t xml:space="preserve"> terdahulu</w:t>
      </w:r>
      <w:r w:rsidR="000440A5">
        <w:rPr>
          <w:rFonts w:asciiTheme="majorBidi" w:hAnsiTheme="majorBidi" w:cstheme="majorBidi"/>
          <w:sz w:val="24"/>
          <w:szCs w:val="24"/>
        </w:rPr>
        <w:t xml:space="preserve"> yang</w:t>
      </w:r>
      <w:r w:rsidR="00776A27">
        <w:rPr>
          <w:rFonts w:asciiTheme="majorBidi" w:hAnsiTheme="majorBidi" w:cstheme="majorBidi"/>
          <w:sz w:val="24"/>
          <w:szCs w:val="24"/>
          <w:lang w:val="en-US"/>
        </w:rPr>
        <w:t xml:space="preserve"> telah</w:t>
      </w:r>
      <w:r w:rsidR="000440A5">
        <w:rPr>
          <w:rFonts w:asciiTheme="majorBidi" w:hAnsiTheme="majorBidi" w:cstheme="majorBidi"/>
          <w:sz w:val="24"/>
          <w:szCs w:val="24"/>
        </w:rPr>
        <w:t xml:space="preserve"> dilakukan</w:t>
      </w:r>
      <w:r w:rsidR="00776A27">
        <w:rPr>
          <w:rFonts w:asciiTheme="majorBidi" w:hAnsiTheme="majorBidi" w:cstheme="majorBidi"/>
          <w:sz w:val="24"/>
          <w:szCs w:val="24"/>
          <w:lang w:val="en-US"/>
        </w:rPr>
        <w:t xml:space="preserve"> oleh</w:t>
      </w:r>
      <w:r w:rsidR="00776A27">
        <w:rPr>
          <w:rFonts w:asciiTheme="majorBidi" w:hAnsiTheme="majorBidi" w:cstheme="majorBidi"/>
          <w:sz w:val="24"/>
          <w:szCs w:val="24"/>
        </w:rPr>
        <w:t xml:space="preserve"> Putra (2013)</w:t>
      </w:r>
      <w:r w:rsidR="00EF780B">
        <w:rPr>
          <w:rFonts w:asciiTheme="majorBidi" w:hAnsiTheme="majorBidi" w:cstheme="majorBidi"/>
          <w:sz w:val="24"/>
          <w:szCs w:val="24"/>
          <w:lang w:val="en-US"/>
        </w:rPr>
        <w:t xml:space="preserve"> yang berjudul</w:t>
      </w:r>
      <w:r w:rsidR="00776A27">
        <w:rPr>
          <w:rFonts w:asciiTheme="majorBidi" w:hAnsiTheme="majorBidi" w:cstheme="majorBidi"/>
          <w:sz w:val="24"/>
          <w:szCs w:val="24"/>
        </w:rPr>
        <w:t xml:space="preserve"> </w:t>
      </w:r>
      <w:r w:rsidR="00EF780B">
        <w:rPr>
          <w:rFonts w:ascii="Times New Roman" w:hAnsi="Times New Roman" w:cs="Times New Roman"/>
          <w:sz w:val="24"/>
          <w:szCs w:val="24"/>
        </w:rPr>
        <w:t xml:space="preserve">“Pengaruh Akuntabilitas Publik Dan Kejelasan Sasaran Anggaran Terhadap Kinerja Manajerial Di Kota Padang”. Permasalahan yang diangkat dari penelitian sebelumnya ini mengenai bagaimana akuntabilitas publik dan kejelasan sasaran anggaran di instansi pemerintahan daerah memberikan pengaruh pada kinerja manajerial di </w:t>
      </w:r>
      <w:r w:rsidR="00EF780B">
        <w:rPr>
          <w:rFonts w:ascii="Times New Roman" w:hAnsi="Times New Roman" w:cs="Times New Roman"/>
          <w:sz w:val="24"/>
          <w:szCs w:val="24"/>
          <w:lang w:val="en-US"/>
        </w:rPr>
        <w:t>Ko</w:t>
      </w:r>
      <w:r w:rsidR="00EF780B">
        <w:rPr>
          <w:rFonts w:ascii="Times New Roman" w:hAnsi="Times New Roman" w:cs="Times New Roman"/>
          <w:sz w:val="24"/>
          <w:szCs w:val="24"/>
        </w:rPr>
        <w:t xml:space="preserve">ta </w:t>
      </w:r>
      <w:r w:rsidR="00EF780B">
        <w:rPr>
          <w:rFonts w:ascii="Times New Roman" w:hAnsi="Times New Roman" w:cs="Times New Roman"/>
          <w:sz w:val="24"/>
          <w:szCs w:val="24"/>
          <w:lang w:val="en-US"/>
        </w:rPr>
        <w:t>P</w:t>
      </w:r>
      <w:r w:rsidR="00EF780B">
        <w:rPr>
          <w:rFonts w:ascii="Times New Roman" w:hAnsi="Times New Roman" w:cs="Times New Roman"/>
          <w:sz w:val="24"/>
          <w:szCs w:val="24"/>
        </w:rPr>
        <w:t xml:space="preserve">adang. Hasil penelitian menunjukan bahwa akuntabilitas publik dan kejelasan sasaran anggaran berpengaruh positif signifikan terhadap kinerja manajerial pemerintahan Kota Padang. </w:t>
      </w:r>
    </w:p>
    <w:p w:rsidR="00C5414E" w:rsidRDefault="00EF780B" w:rsidP="00D92A29">
      <w:pPr>
        <w:spacing w:after="0" w:line="360" w:lineRule="auto"/>
        <w:ind w:firstLine="634"/>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merupakan replikasi dari penelitian Putra (2013), perbedaan penelitian ini dengan penelitian sebelumnya yaitu; </w:t>
      </w:r>
      <w:r w:rsidRPr="00971FF5">
        <w:rPr>
          <w:rFonts w:ascii="Times New Roman" w:hAnsi="Times New Roman" w:cs="Times New Roman"/>
          <w:i/>
          <w:sz w:val="24"/>
          <w:szCs w:val="24"/>
        </w:rPr>
        <w:t>pertama</w:t>
      </w:r>
      <w:r>
        <w:rPr>
          <w:rFonts w:ascii="Times New Roman" w:hAnsi="Times New Roman" w:cs="Times New Roman"/>
          <w:i/>
          <w:sz w:val="24"/>
          <w:szCs w:val="24"/>
        </w:rPr>
        <w:t xml:space="preserve">, </w:t>
      </w:r>
      <w:r>
        <w:rPr>
          <w:rFonts w:ascii="Times New Roman" w:hAnsi="Times New Roman" w:cs="Times New Roman"/>
          <w:sz w:val="24"/>
          <w:szCs w:val="24"/>
        </w:rPr>
        <w:t xml:space="preserve">penelitian terdahulu melakukan penelitian di instansi pemerintah Kota Padang sedangkan penelitian ini </w:t>
      </w:r>
      <w:r>
        <w:rPr>
          <w:rFonts w:ascii="Times New Roman" w:hAnsi="Times New Roman" w:cs="Times New Roman"/>
          <w:sz w:val="24"/>
          <w:szCs w:val="24"/>
        </w:rPr>
        <w:lastRenderedPageBreak/>
        <w:t xml:space="preserve">melakukan penelitian di OPD </w:t>
      </w:r>
      <w:r>
        <w:rPr>
          <w:rFonts w:ascii="Times New Roman" w:hAnsi="Times New Roman" w:cs="Times New Roman"/>
          <w:sz w:val="24"/>
          <w:szCs w:val="24"/>
          <w:lang w:val="en-US"/>
        </w:rPr>
        <w:t>Provinsi Sumatera Selatan</w:t>
      </w:r>
      <w:r>
        <w:rPr>
          <w:rFonts w:ascii="Times New Roman" w:hAnsi="Times New Roman" w:cs="Times New Roman"/>
          <w:sz w:val="24"/>
          <w:szCs w:val="24"/>
        </w:rPr>
        <w:t xml:space="preserve">. </w:t>
      </w:r>
      <w:r>
        <w:rPr>
          <w:rFonts w:ascii="Times New Roman" w:hAnsi="Times New Roman" w:cs="Times New Roman"/>
          <w:i/>
          <w:sz w:val="24"/>
          <w:szCs w:val="24"/>
        </w:rPr>
        <w:t>Kedua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penelitian ini sebelumnya dilaksanakan pada tahun 2013 dan penelitian ini dilakukan pada tahun 2018.</w:t>
      </w:r>
      <w:r>
        <w:rPr>
          <w:rFonts w:ascii="Times New Roman" w:hAnsi="Times New Roman" w:cs="Times New Roman"/>
          <w:sz w:val="24"/>
          <w:szCs w:val="24"/>
          <w:lang w:val="en-US"/>
        </w:rPr>
        <w:t xml:space="preserve"> </w:t>
      </w:r>
      <w:r w:rsidR="006D2DD5">
        <w:rPr>
          <w:rFonts w:asciiTheme="majorBidi" w:hAnsiTheme="majorBidi" w:cstheme="majorBidi"/>
          <w:sz w:val="24"/>
          <w:szCs w:val="24"/>
        </w:rPr>
        <w:t>Berdasarkan latar belakang peneliti tertarik untuk melakukan penelitian yang berjudul “</w:t>
      </w:r>
      <w:r w:rsidR="006D2DD5" w:rsidRPr="005B409B">
        <w:rPr>
          <w:rFonts w:asciiTheme="majorBidi" w:hAnsiTheme="majorBidi" w:cstheme="majorBidi"/>
          <w:b/>
          <w:bCs/>
          <w:sz w:val="24"/>
          <w:szCs w:val="24"/>
        </w:rPr>
        <w:t>Pengaruh Akun</w:t>
      </w:r>
      <w:r w:rsidR="006D2DD5">
        <w:rPr>
          <w:rFonts w:asciiTheme="majorBidi" w:hAnsiTheme="majorBidi" w:cstheme="majorBidi"/>
          <w:b/>
          <w:bCs/>
          <w:sz w:val="24"/>
          <w:szCs w:val="24"/>
        </w:rPr>
        <w:t>tabilitas Publik dan Kejelasan</w:t>
      </w:r>
      <w:r w:rsidR="006D2DD5" w:rsidRPr="005B409B">
        <w:rPr>
          <w:rFonts w:asciiTheme="majorBidi" w:hAnsiTheme="majorBidi" w:cstheme="majorBidi"/>
          <w:b/>
          <w:bCs/>
          <w:sz w:val="24"/>
          <w:szCs w:val="24"/>
        </w:rPr>
        <w:t xml:space="preserve"> Sasaran Anggaran Terhadap Kinerja Manajerial Pada Organisasi Perangkat Daerah (OPD) Provinsi Sumatera Selatan</w:t>
      </w:r>
      <w:r w:rsidR="006D2DD5">
        <w:rPr>
          <w:rFonts w:asciiTheme="majorBidi" w:hAnsiTheme="majorBidi" w:cstheme="majorBidi"/>
          <w:sz w:val="24"/>
          <w:szCs w:val="24"/>
        </w:rPr>
        <w:t xml:space="preserve">” </w:t>
      </w:r>
    </w:p>
    <w:p w:rsidR="00D92A29" w:rsidRPr="00C5414E" w:rsidRDefault="00D92A29" w:rsidP="00D92A29">
      <w:pPr>
        <w:spacing w:after="0" w:line="360" w:lineRule="auto"/>
        <w:ind w:firstLine="634"/>
        <w:jc w:val="both"/>
        <w:rPr>
          <w:rFonts w:ascii="Times New Roman" w:hAnsi="Times New Roman" w:cs="Times New Roman"/>
          <w:sz w:val="24"/>
          <w:szCs w:val="24"/>
          <w:lang w:val="en-US"/>
        </w:rPr>
      </w:pPr>
    </w:p>
    <w:p w:rsidR="006D2DD5" w:rsidRPr="0033643F" w:rsidRDefault="00DD6387" w:rsidP="006D2DD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6D2DD5">
        <w:rPr>
          <w:rFonts w:asciiTheme="majorBidi" w:hAnsiTheme="majorBidi" w:cstheme="majorBidi"/>
          <w:b/>
          <w:bCs/>
          <w:sz w:val="24"/>
          <w:szCs w:val="24"/>
        </w:rPr>
        <w:t>.</w:t>
      </w:r>
      <w:r>
        <w:rPr>
          <w:rFonts w:asciiTheme="majorBidi" w:hAnsiTheme="majorBidi" w:cstheme="majorBidi"/>
          <w:b/>
          <w:bCs/>
          <w:sz w:val="24"/>
          <w:szCs w:val="24"/>
        </w:rPr>
        <w:t xml:space="preserve">2.     </w:t>
      </w:r>
      <w:r w:rsidR="006D2DD5">
        <w:rPr>
          <w:rFonts w:asciiTheme="majorBidi" w:hAnsiTheme="majorBidi" w:cstheme="majorBidi"/>
          <w:b/>
          <w:bCs/>
          <w:sz w:val="24"/>
          <w:szCs w:val="24"/>
        </w:rPr>
        <w:t xml:space="preserve"> Per</w:t>
      </w:r>
      <w:r w:rsidR="006D2DD5" w:rsidRPr="0033643F">
        <w:rPr>
          <w:rFonts w:asciiTheme="majorBidi" w:hAnsiTheme="majorBidi" w:cstheme="majorBidi"/>
          <w:b/>
          <w:bCs/>
          <w:sz w:val="24"/>
          <w:szCs w:val="24"/>
        </w:rPr>
        <w:t>umusan Masalah</w:t>
      </w:r>
    </w:p>
    <w:p w:rsidR="006D2DD5" w:rsidRDefault="00504976" w:rsidP="006D2DD5">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en-US"/>
        </w:rPr>
        <w:t>Bedasarkan l</w:t>
      </w:r>
      <w:r>
        <w:rPr>
          <w:rFonts w:asciiTheme="majorBidi" w:hAnsiTheme="majorBidi" w:cstheme="majorBidi"/>
          <w:sz w:val="24"/>
          <w:szCs w:val="24"/>
        </w:rPr>
        <w:t xml:space="preserve">atar belakang </w:t>
      </w:r>
      <w:r w:rsidR="006D2DD5">
        <w:rPr>
          <w:rFonts w:asciiTheme="majorBidi" w:hAnsiTheme="majorBidi" w:cstheme="majorBidi"/>
          <w:sz w:val="24"/>
          <w:szCs w:val="24"/>
        </w:rPr>
        <w:t xml:space="preserve">maka penelitian ini memiliki rumusan masalah sebagai berikut “Bagaimana Pengaruh Akuntabilitas Publik dan Kejelasan Sasaran Anggaran terhadap Kinerja Manajerial </w:t>
      </w:r>
      <w:r w:rsidR="006D2DD5" w:rsidRPr="003F41B4">
        <w:rPr>
          <w:rFonts w:asciiTheme="majorBidi" w:hAnsiTheme="majorBidi" w:cstheme="majorBidi"/>
          <w:sz w:val="24"/>
          <w:szCs w:val="24"/>
        </w:rPr>
        <w:t xml:space="preserve">pada Organisasi Perangkat Daerah (OPD) </w:t>
      </w:r>
      <w:r w:rsidR="006D2DD5">
        <w:rPr>
          <w:rFonts w:asciiTheme="majorBidi" w:hAnsiTheme="majorBidi" w:cstheme="majorBidi"/>
          <w:sz w:val="24"/>
          <w:szCs w:val="24"/>
        </w:rPr>
        <w:t>Provinsi</w:t>
      </w:r>
      <w:r>
        <w:rPr>
          <w:rFonts w:asciiTheme="majorBidi" w:hAnsiTheme="majorBidi" w:cstheme="majorBidi"/>
          <w:sz w:val="24"/>
          <w:szCs w:val="24"/>
        </w:rPr>
        <w:t xml:space="preserve"> Sumatera Selatan”. </w:t>
      </w:r>
      <w:r>
        <w:rPr>
          <w:rFonts w:asciiTheme="majorBidi" w:hAnsiTheme="majorBidi" w:cstheme="majorBidi"/>
          <w:sz w:val="24"/>
          <w:szCs w:val="24"/>
          <w:lang w:val="en-US"/>
        </w:rPr>
        <w:t>R</w:t>
      </w:r>
      <w:r w:rsidR="006D2DD5">
        <w:rPr>
          <w:rFonts w:asciiTheme="majorBidi" w:hAnsiTheme="majorBidi" w:cstheme="majorBidi"/>
          <w:sz w:val="24"/>
          <w:szCs w:val="24"/>
        </w:rPr>
        <w:t>umusan masalah tersebut dapat dijabarkan beberapa pertanyaan penelitian sebagai berikut:</w:t>
      </w:r>
    </w:p>
    <w:p w:rsidR="006D2DD5" w:rsidRDefault="00504976" w:rsidP="006D2DD5">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en-US"/>
        </w:rPr>
        <w:t>Apakah</w:t>
      </w:r>
      <w:r w:rsidR="006D2DD5">
        <w:rPr>
          <w:rFonts w:asciiTheme="majorBidi" w:hAnsiTheme="majorBidi" w:cstheme="majorBidi"/>
          <w:sz w:val="24"/>
          <w:szCs w:val="24"/>
        </w:rPr>
        <w:t xml:space="preserve"> Akuntabilitas Publik </w:t>
      </w:r>
      <w:r>
        <w:rPr>
          <w:rFonts w:asciiTheme="majorBidi" w:hAnsiTheme="majorBidi" w:cstheme="majorBidi"/>
          <w:sz w:val="24"/>
          <w:szCs w:val="24"/>
          <w:lang w:val="en-US"/>
        </w:rPr>
        <w:t>ber</w:t>
      </w:r>
      <w:r w:rsidR="006D2DD5">
        <w:rPr>
          <w:rFonts w:asciiTheme="majorBidi" w:hAnsiTheme="majorBidi" w:cstheme="majorBidi"/>
          <w:sz w:val="24"/>
          <w:szCs w:val="24"/>
        </w:rPr>
        <w:t xml:space="preserve">pengaruh terhadap Kinerja Manajerial </w:t>
      </w:r>
      <w:r w:rsidR="006D2DD5" w:rsidRPr="003F41B4">
        <w:rPr>
          <w:rFonts w:asciiTheme="majorBidi" w:hAnsiTheme="majorBidi" w:cstheme="majorBidi"/>
          <w:sz w:val="24"/>
          <w:szCs w:val="24"/>
        </w:rPr>
        <w:t xml:space="preserve">pada Organisasi Perangkat Daerah (OPD) </w:t>
      </w:r>
      <w:r w:rsidR="006D2DD5">
        <w:rPr>
          <w:rFonts w:asciiTheme="majorBidi" w:hAnsiTheme="majorBidi" w:cstheme="majorBidi"/>
          <w:sz w:val="24"/>
          <w:szCs w:val="24"/>
        </w:rPr>
        <w:t>Provinsi Sumatera Selatan</w:t>
      </w:r>
      <w:r w:rsidR="006D2DD5" w:rsidRPr="003F41B4">
        <w:rPr>
          <w:rFonts w:asciiTheme="majorBidi" w:hAnsiTheme="majorBidi" w:cstheme="majorBidi"/>
          <w:sz w:val="24"/>
          <w:szCs w:val="24"/>
        </w:rPr>
        <w:t>?</w:t>
      </w:r>
    </w:p>
    <w:p w:rsidR="006D2DD5" w:rsidRDefault="00504976" w:rsidP="006D2DD5">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en-US"/>
        </w:rPr>
        <w:t>Apakah</w:t>
      </w:r>
      <w:r w:rsidR="006D2DD5" w:rsidRPr="00B3701F">
        <w:rPr>
          <w:rFonts w:asciiTheme="majorBidi" w:hAnsiTheme="majorBidi" w:cstheme="majorBidi"/>
          <w:sz w:val="24"/>
          <w:szCs w:val="24"/>
        </w:rPr>
        <w:t xml:space="preserve"> Kejelasan Sasaran Angg</w:t>
      </w:r>
      <w:r>
        <w:rPr>
          <w:rFonts w:asciiTheme="majorBidi" w:hAnsiTheme="majorBidi" w:cstheme="majorBidi"/>
          <w:sz w:val="24"/>
          <w:szCs w:val="24"/>
          <w:lang w:val="en-US"/>
        </w:rPr>
        <w:t>a</w:t>
      </w:r>
      <w:r w:rsidR="006D2DD5" w:rsidRPr="00B3701F">
        <w:rPr>
          <w:rFonts w:asciiTheme="majorBidi" w:hAnsiTheme="majorBidi" w:cstheme="majorBidi"/>
          <w:sz w:val="24"/>
          <w:szCs w:val="24"/>
        </w:rPr>
        <w:t>ran</w:t>
      </w:r>
      <w:r w:rsidR="006D2DD5">
        <w:rPr>
          <w:rFonts w:asciiTheme="majorBidi" w:hAnsiTheme="majorBidi" w:cstheme="majorBidi"/>
          <w:sz w:val="24"/>
          <w:szCs w:val="24"/>
        </w:rPr>
        <w:t xml:space="preserve"> </w:t>
      </w:r>
      <w:r>
        <w:rPr>
          <w:rFonts w:asciiTheme="majorBidi" w:hAnsiTheme="majorBidi" w:cstheme="majorBidi"/>
          <w:sz w:val="24"/>
          <w:szCs w:val="24"/>
          <w:lang w:val="en-US"/>
        </w:rPr>
        <w:t>ber</w:t>
      </w:r>
      <w:r w:rsidR="006D2DD5">
        <w:rPr>
          <w:rFonts w:asciiTheme="majorBidi" w:hAnsiTheme="majorBidi" w:cstheme="majorBidi"/>
          <w:sz w:val="24"/>
          <w:szCs w:val="24"/>
        </w:rPr>
        <w:t>pengaruh</w:t>
      </w:r>
      <w:r w:rsidR="006D2DD5" w:rsidRPr="00B3701F">
        <w:rPr>
          <w:rFonts w:asciiTheme="majorBidi" w:hAnsiTheme="majorBidi" w:cstheme="majorBidi"/>
          <w:sz w:val="24"/>
          <w:szCs w:val="24"/>
        </w:rPr>
        <w:t xml:space="preserve"> terhadap Kinerja Manajerial pada Organisasi Perangkat Daerah (OPD) </w:t>
      </w:r>
      <w:r w:rsidR="006D2DD5">
        <w:rPr>
          <w:rFonts w:asciiTheme="majorBidi" w:hAnsiTheme="majorBidi" w:cstheme="majorBidi"/>
          <w:sz w:val="24"/>
          <w:szCs w:val="24"/>
        </w:rPr>
        <w:t>Provinsi Sumatera Selatan</w:t>
      </w:r>
      <w:r w:rsidR="006D2DD5" w:rsidRPr="00B3701F">
        <w:rPr>
          <w:rFonts w:asciiTheme="majorBidi" w:hAnsiTheme="majorBidi" w:cstheme="majorBidi"/>
          <w:sz w:val="24"/>
          <w:szCs w:val="24"/>
        </w:rPr>
        <w:t>?</w:t>
      </w:r>
    </w:p>
    <w:p w:rsidR="006D2DD5" w:rsidRPr="00C5414E" w:rsidRDefault="00504976" w:rsidP="00C5414E">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en-US"/>
        </w:rPr>
        <w:t>Apakah</w:t>
      </w:r>
      <w:r w:rsidR="006D2DD5" w:rsidRPr="00B3701F">
        <w:rPr>
          <w:rFonts w:asciiTheme="majorBidi" w:hAnsiTheme="majorBidi" w:cstheme="majorBidi"/>
          <w:sz w:val="24"/>
          <w:szCs w:val="24"/>
        </w:rPr>
        <w:t xml:space="preserve"> Akuntabilitas Publi</w:t>
      </w:r>
      <w:r w:rsidR="006D2DD5">
        <w:rPr>
          <w:rFonts w:asciiTheme="majorBidi" w:hAnsiTheme="majorBidi" w:cstheme="majorBidi"/>
          <w:sz w:val="24"/>
          <w:szCs w:val="24"/>
        </w:rPr>
        <w:t>k dan Kejelasan Sasaran Angg</w:t>
      </w:r>
      <w:r>
        <w:rPr>
          <w:rFonts w:asciiTheme="majorBidi" w:hAnsiTheme="majorBidi" w:cstheme="majorBidi"/>
          <w:sz w:val="24"/>
          <w:szCs w:val="24"/>
          <w:lang w:val="en-US"/>
        </w:rPr>
        <w:t>a</w:t>
      </w:r>
      <w:r w:rsidR="006D2DD5">
        <w:rPr>
          <w:rFonts w:asciiTheme="majorBidi" w:hAnsiTheme="majorBidi" w:cstheme="majorBidi"/>
          <w:sz w:val="24"/>
          <w:szCs w:val="24"/>
        </w:rPr>
        <w:t xml:space="preserve">ran </w:t>
      </w:r>
      <w:r>
        <w:rPr>
          <w:rFonts w:asciiTheme="majorBidi" w:hAnsiTheme="majorBidi" w:cstheme="majorBidi"/>
          <w:sz w:val="24"/>
          <w:szCs w:val="24"/>
          <w:lang w:val="en-US"/>
        </w:rPr>
        <w:t>ber</w:t>
      </w:r>
      <w:r w:rsidR="006D2DD5">
        <w:rPr>
          <w:rFonts w:asciiTheme="majorBidi" w:hAnsiTheme="majorBidi" w:cstheme="majorBidi"/>
          <w:sz w:val="24"/>
          <w:szCs w:val="24"/>
        </w:rPr>
        <w:t xml:space="preserve">pengaruh </w:t>
      </w:r>
      <w:r w:rsidR="006D2DD5" w:rsidRPr="00B3701F">
        <w:rPr>
          <w:rFonts w:asciiTheme="majorBidi" w:hAnsiTheme="majorBidi" w:cstheme="majorBidi"/>
          <w:sz w:val="24"/>
          <w:szCs w:val="24"/>
        </w:rPr>
        <w:t xml:space="preserve">terhadap Kinerja Manajerial pada Organisasi Perangkat Daerah (OPD) </w:t>
      </w:r>
      <w:r w:rsidR="006D2DD5">
        <w:rPr>
          <w:rFonts w:asciiTheme="majorBidi" w:hAnsiTheme="majorBidi" w:cstheme="majorBidi"/>
          <w:sz w:val="24"/>
          <w:szCs w:val="24"/>
        </w:rPr>
        <w:t>Provinsi Sumatera Selatan</w:t>
      </w:r>
      <w:r w:rsidR="006D2DD5" w:rsidRPr="00B3701F">
        <w:rPr>
          <w:rFonts w:asciiTheme="majorBidi" w:hAnsiTheme="majorBidi" w:cstheme="majorBidi"/>
          <w:sz w:val="24"/>
          <w:szCs w:val="24"/>
        </w:rPr>
        <w:t>?</w:t>
      </w:r>
    </w:p>
    <w:p w:rsidR="00C5414E" w:rsidRPr="00C5414E" w:rsidRDefault="00C5414E" w:rsidP="00C5414E">
      <w:pPr>
        <w:pStyle w:val="ListParagraph"/>
        <w:spacing w:after="0" w:line="360" w:lineRule="auto"/>
        <w:ind w:left="284"/>
        <w:jc w:val="both"/>
        <w:rPr>
          <w:rFonts w:asciiTheme="majorBidi" w:hAnsiTheme="majorBidi" w:cstheme="majorBidi"/>
          <w:sz w:val="24"/>
          <w:szCs w:val="24"/>
        </w:rPr>
      </w:pPr>
    </w:p>
    <w:p w:rsidR="006D2DD5" w:rsidRDefault="00DD6387" w:rsidP="006D2DD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6D2DD5">
        <w:rPr>
          <w:rFonts w:asciiTheme="majorBidi" w:hAnsiTheme="majorBidi" w:cstheme="majorBidi"/>
          <w:b/>
          <w:bCs/>
          <w:sz w:val="24"/>
          <w:szCs w:val="24"/>
        </w:rPr>
        <w:t>.</w:t>
      </w:r>
      <w:r>
        <w:rPr>
          <w:rFonts w:asciiTheme="majorBidi" w:hAnsiTheme="majorBidi" w:cstheme="majorBidi"/>
          <w:b/>
          <w:bCs/>
          <w:sz w:val="24"/>
          <w:szCs w:val="24"/>
        </w:rPr>
        <w:t xml:space="preserve">3.     </w:t>
      </w:r>
      <w:r w:rsidR="006D2DD5">
        <w:rPr>
          <w:rFonts w:asciiTheme="majorBidi" w:hAnsiTheme="majorBidi" w:cstheme="majorBidi"/>
          <w:b/>
          <w:bCs/>
          <w:sz w:val="24"/>
          <w:szCs w:val="24"/>
        </w:rPr>
        <w:t xml:space="preserve"> Batasan Masalah </w:t>
      </w:r>
    </w:p>
    <w:p w:rsidR="008F3227" w:rsidRDefault="006D2DD5" w:rsidP="008F3227">
      <w:pPr>
        <w:pStyle w:val="ListParagraph"/>
        <w:spacing w:line="360" w:lineRule="auto"/>
        <w:ind w:left="0" w:firstLine="426"/>
        <w:jc w:val="both"/>
        <w:rPr>
          <w:rFonts w:ascii="Times New Roman" w:eastAsia="Times New Roman" w:hAnsi="Times New Roman" w:cs="Times New Roman"/>
          <w:sz w:val="24"/>
          <w:szCs w:val="24"/>
        </w:rPr>
      </w:pPr>
      <w:r>
        <w:rPr>
          <w:rFonts w:asciiTheme="majorBidi" w:hAnsiTheme="majorBidi" w:cstheme="majorBidi"/>
          <w:sz w:val="24"/>
          <w:szCs w:val="24"/>
        </w:rPr>
        <w:tab/>
      </w:r>
      <w:r w:rsidR="008F3227" w:rsidRPr="00AB6B16">
        <w:rPr>
          <w:rFonts w:ascii="Times New Roman" w:eastAsia="Times New Roman" w:hAnsi="Times New Roman" w:cs="Times New Roman"/>
          <w:color w:val="000000" w:themeColor="text1"/>
          <w:sz w:val="24"/>
          <w:szCs w:val="24"/>
        </w:rPr>
        <w:t>Agar pembahasan dalam penelitian ini tidak menyimpang dari permasalahan yang ada, peneliti hanya membatasi pembahasannya yaitu</w:t>
      </w:r>
      <w:r w:rsidR="008F3227">
        <w:rPr>
          <w:rFonts w:ascii="Times New Roman" w:eastAsia="Times New Roman" w:hAnsi="Times New Roman" w:cs="Times New Roman"/>
          <w:color w:val="000000" w:themeColor="text1"/>
          <w:sz w:val="24"/>
          <w:szCs w:val="24"/>
        </w:rPr>
        <w:t xml:space="preserve"> </w:t>
      </w:r>
      <w:r w:rsidR="008F3227" w:rsidRPr="00AB6B16">
        <w:rPr>
          <w:rFonts w:ascii="Times New Roman" w:eastAsia="Times New Roman" w:hAnsi="Times New Roman" w:cs="Times New Roman"/>
          <w:color w:val="000000" w:themeColor="text1"/>
          <w:sz w:val="24"/>
          <w:szCs w:val="24"/>
        </w:rPr>
        <w:t>Akuntabilitas Publik</w:t>
      </w:r>
      <w:r w:rsidR="008F3227">
        <w:rPr>
          <w:rFonts w:ascii="Times New Roman" w:eastAsia="Times New Roman" w:hAnsi="Times New Roman" w:cs="Times New Roman"/>
          <w:color w:val="000000" w:themeColor="text1"/>
          <w:sz w:val="24"/>
          <w:szCs w:val="24"/>
          <w:lang w:val="en-US"/>
        </w:rPr>
        <w:t xml:space="preserve"> dan </w:t>
      </w:r>
      <w:r w:rsidR="008F3227">
        <w:rPr>
          <w:rFonts w:ascii="Times New Roman" w:eastAsia="Times New Roman" w:hAnsi="Times New Roman" w:cs="Times New Roman"/>
          <w:color w:val="000000" w:themeColor="text1"/>
          <w:sz w:val="24"/>
          <w:szCs w:val="24"/>
        </w:rPr>
        <w:t>Kejelasan Sasaran Anggaran</w:t>
      </w:r>
      <w:r w:rsidR="008F3227">
        <w:rPr>
          <w:rFonts w:ascii="Times New Roman" w:eastAsia="Times New Roman" w:hAnsi="Times New Roman" w:cs="Times New Roman"/>
          <w:color w:val="000000" w:themeColor="text1"/>
          <w:sz w:val="24"/>
          <w:szCs w:val="24"/>
          <w:lang w:val="en-US"/>
        </w:rPr>
        <w:t xml:space="preserve"> terhadap Kinerja Manajerial</w:t>
      </w:r>
      <w:r w:rsidR="008F3227">
        <w:rPr>
          <w:rFonts w:ascii="Times New Roman" w:eastAsia="Times New Roman" w:hAnsi="Times New Roman" w:cs="Times New Roman"/>
          <w:color w:val="000000" w:themeColor="text1"/>
          <w:sz w:val="24"/>
          <w:szCs w:val="24"/>
        </w:rPr>
        <w:t xml:space="preserve"> </w:t>
      </w:r>
      <w:r w:rsidR="008F3227" w:rsidRPr="00AB6B16">
        <w:rPr>
          <w:rFonts w:ascii="Times New Roman" w:eastAsia="Times New Roman" w:hAnsi="Times New Roman" w:cs="Times New Roman"/>
          <w:color w:val="000000" w:themeColor="text1"/>
          <w:sz w:val="24"/>
          <w:szCs w:val="24"/>
        </w:rPr>
        <w:t xml:space="preserve">pada </w:t>
      </w:r>
      <w:r w:rsidR="008F3227">
        <w:rPr>
          <w:rFonts w:ascii="Times New Roman" w:eastAsia="Times New Roman" w:hAnsi="Times New Roman" w:cs="Times New Roman"/>
          <w:color w:val="000000" w:themeColor="text1"/>
          <w:sz w:val="24"/>
          <w:szCs w:val="24"/>
        </w:rPr>
        <w:t xml:space="preserve">Organisasi </w:t>
      </w:r>
      <w:r w:rsidR="008F3227" w:rsidRPr="00AB6B16">
        <w:rPr>
          <w:rFonts w:ascii="Times New Roman" w:eastAsia="Times New Roman" w:hAnsi="Times New Roman" w:cs="Times New Roman"/>
          <w:color w:val="000000" w:themeColor="text1"/>
          <w:sz w:val="24"/>
          <w:szCs w:val="24"/>
        </w:rPr>
        <w:t>Perangkat Daerah (</w:t>
      </w:r>
      <w:r w:rsidR="008F3227">
        <w:rPr>
          <w:rFonts w:ascii="Times New Roman" w:eastAsia="Times New Roman" w:hAnsi="Times New Roman" w:cs="Times New Roman"/>
          <w:color w:val="000000" w:themeColor="text1"/>
          <w:sz w:val="24"/>
          <w:szCs w:val="24"/>
        </w:rPr>
        <w:t>O</w:t>
      </w:r>
      <w:r w:rsidR="008F3227" w:rsidRPr="00AB6B16">
        <w:rPr>
          <w:rFonts w:ascii="Times New Roman" w:eastAsia="Times New Roman" w:hAnsi="Times New Roman" w:cs="Times New Roman"/>
          <w:color w:val="000000" w:themeColor="text1"/>
          <w:sz w:val="24"/>
          <w:szCs w:val="24"/>
        </w:rPr>
        <w:t xml:space="preserve">PD) </w:t>
      </w:r>
      <w:r w:rsidR="008F3227">
        <w:rPr>
          <w:rFonts w:ascii="Times New Roman" w:eastAsia="Times New Roman" w:hAnsi="Times New Roman" w:cs="Times New Roman"/>
          <w:color w:val="000000" w:themeColor="text1"/>
          <w:sz w:val="24"/>
          <w:szCs w:val="24"/>
          <w:lang w:val="en-US"/>
        </w:rPr>
        <w:t>Provinsi Sumatera Selatan</w:t>
      </w:r>
      <w:r w:rsidR="008F3227">
        <w:rPr>
          <w:rFonts w:ascii="Times New Roman" w:eastAsia="Times New Roman" w:hAnsi="Times New Roman" w:cs="Times New Roman"/>
          <w:sz w:val="24"/>
          <w:szCs w:val="24"/>
        </w:rPr>
        <w:t xml:space="preserve">. </w:t>
      </w:r>
      <w:r w:rsidR="008F3227" w:rsidRPr="0066040E">
        <w:rPr>
          <w:rFonts w:ascii="Times New Roman" w:eastAsia="Times New Roman" w:hAnsi="Times New Roman" w:cs="Times New Roman"/>
          <w:sz w:val="24"/>
          <w:szCs w:val="24"/>
        </w:rPr>
        <w:t xml:space="preserve">Unit penelitian ini adalah </w:t>
      </w:r>
      <w:r w:rsidR="008F3227">
        <w:rPr>
          <w:rFonts w:ascii="Times New Roman" w:eastAsia="Times New Roman" w:hAnsi="Times New Roman" w:cs="Times New Roman"/>
          <w:sz w:val="24"/>
          <w:szCs w:val="24"/>
        </w:rPr>
        <w:t>Organisasi</w:t>
      </w:r>
      <w:r w:rsidR="008F3227" w:rsidRPr="0066040E">
        <w:rPr>
          <w:rFonts w:ascii="Times New Roman" w:eastAsia="Times New Roman" w:hAnsi="Times New Roman" w:cs="Times New Roman"/>
          <w:sz w:val="24"/>
          <w:szCs w:val="24"/>
        </w:rPr>
        <w:t xml:space="preserve"> Perangkat Daerah</w:t>
      </w:r>
      <w:r w:rsidR="008F3227">
        <w:rPr>
          <w:rFonts w:ascii="Times New Roman" w:eastAsia="Times New Roman" w:hAnsi="Times New Roman" w:cs="Times New Roman"/>
          <w:sz w:val="24"/>
          <w:szCs w:val="24"/>
          <w:lang w:val="en-US"/>
        </w:rPr>
        <w:t xml:space="preserve"> </w:t>
      </w:r>
      <w:r w:rsidR="008F3227">
        <w:rPr>
          <w:rFonts w:ascii="Times New Roman" w:eastAsia="Times New Roman" w:hAnsi="Times New Roman" w:cs="Times New Roman"/>
          <w:color w:val="000000" w:themeColor="text1"/>
          <w:sz w:val="24"/>
          <w:szCs w:val="24"/>
          <w:lang w:val="en-US"/>
        </w:rPr>
        <w:t>Provinsi Sumatera Selatan</w:t>
      </w:r>
      <w:r w:rsidR="008F3227" w:rsidRPr="0066040E">
        <w:rPr>
          <w:rFonts w:ascii="Times New Roman" w:eastAsia="Times New Roman" w:hAnsi="Times New Roman" w:cs="Times New Roman"/>
          <w:sz w:val="24"/>
          <w:szCs w:val="24"/>
        </w:rPr>
        <w:t xml:space="preserve">, </w:t>
      </w:r>
      <w:r w:rsidR="008F3227">
        <w:rPr>
          <w:rFonts w:ascii="Times New Roman" w:hAnsi="Times New Roman" w:cs="Times New Roman"/>
          <w:sz w:val="24"/>
          <w:szCs w:val="24"/>
          <w:lang w:val="en-US"/>
        </w:rPr>
        <w:t>d</w:t>
      </w:r>
      <w:r w:rsidR="008F3227" w:rsidRPr="00DF45D9">
        <w:rPr>
          <w:rFonts w:ascii="Times New Roman" w:hAnsi="Times New Roman" w:cs="Times New Roman"/>
          <w:sz w:val="24"/>
          <w:szCs w:val="24"/>
        </w:rPr>
        <w:t xml:space="preserve">engan unit pengamatan </w:t>
      </w:r>
      <w:r w:rsidR="008F3227">
        <w:rPr>
          <w:rFonts w:ascii="Times New Roman" w:eastAsia="Times New Roman" w:hAnsi="Times New Roman" w:cs="Times New Roman"/>
          <w:sz w:val="24"/>
          <w:szCs w:val="24"/>
          <w:lang w:val="en-US"/>
        </w:rPr>
        <w:t>yaitu</w:t>
      </w:r>
      <w:r w:rsidR="008F3227">
        <w:rPr>
          <w:rFonts w:ascii="Times New Roman" w:eastAsia="Times New Roman" w:hAnsi="Times New Roman" w:cs="Times New Roman"/>
          <w:sz w:val="24"/>
          <w:szCs w:val="24"/>
        </w:rPr>
        <w:t xml:space="preserve"> </w:t>
      </w:r>
      <w:r w:rsidR="008F3227">
        <w:rPr>
          <w:rFonts w:asciiTheme="majorBidi" w:hAnsiTheme="majorBidi" w:cstheme="majorBidi"/>
          <w:sz w:val="24"/>
          <w:szCs w:val="24"/>
        </w:rPr>
        <w:t>Kepala, Kasubbag Sekretariat, Kasubbag Keuangan, Staf Keuangan, dan Kasubbag Tata Usaha</w:t>
      </w:r>
      <w:r w:rsidR="008F3227" w:rsidRPr="004A5349">
        <w:rPr>
          <w:rFonts w:ascii="Times New Roman" w:eastAsia="Times New Roman" w:hAnsi="Times New Roman" w:cs="Times New Roman"/>
          <w:sz w:val="24"/>
          <w:szCs w:val="24"/>
        </w:rPr>
        <w:t xml:space="preserve"> Pada Organisasi Perangkat Daerah (OPD)</w:t>
      </w:r>
      <w:r w:rsidR="008F3227">
        <w:rPr>
          <w:rFonts w:ascii="Times New Roman" w:eastAsia="Times New Roman" w:hAnsi="Times New Roman" w:cs="Times New Roman"/>
          <w:sz w:val="24"/>
          <w:szCs w:val="24"/>
        </w:rPr>
        <w:t xml:space="preserve">  tahun 2018.</w:t>
      </w:r>
    </w:p>
    <w:p w:rsidR="006D2DD5" w:rsidRPr="0033643F" w:rsidRDefault="00DD6387" w:rsidP="008F322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1</w:t>
      </w:r>
      <w:r w:rsidR="006D2DD5">
        <w:rPr>
          <w:rFonts w:asciiTheme="majorBidi" w:hAnsiTheme="majorBidi" w:cstheme="majorBidi"/>
          <w:b/>
          <w:bCs/>
          <w:sz w:val="24"/>
          <w:szCs w:val="24"/>
        </w:rPr>
        <w:t>.</w:t>
      </w:r>
      <w:r>
        <w:rPr>
          <w:rFonts w:asciiTheme="majorBidi" w:hAnsiTheme="majorBidi" w:cstheme="majorBidi"/>
          <w:b/>
          <w:bCs/>
          <w:sz w:val="24"/>
          <w:szCs w:val="24"/>
        </w:rPr>
        <w:t xml:space="preserve">4.    </w:t>
      </w:r>
      <w:r w:rsidR="006D2DD5" w:rsidRPr="0033643F">
        <w:rPr>
          <w:rFonts w:asciiTheme="majorBidi" w:hAnsiTheme="majorBidi" w:cstheme="majorBidi"/>
          <w:b/>
          <w:bCs/>
          <w:sz w:val="24"/>
          <w:szCs w:val="24"/>
        </w:rPr>
        <w:t>Tujuan dan Manfaat Penelitian</w:t>
      </w:r>
    </w:p>
    <w:p w:rsidR="006D2DD5" w:rsidRPr="0033643F" w:rsidRDefault="00DD6387" w:rsidP="006D2DD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1.4</w:t>
      </w:r>
      <w:r w:rsidR="006D2DD5">
        <w:rPr>
          <w:rFonts w:asciiTheme="majorBidi" w:hAnsiTheme="majorBidi" w:cstheme="majorBidi"/>
          <w:b/>
          <w:bCs/>
          <w:sz w:val="24"/>
          <w:szCs w:val="24"/>
        </w:rPr>
        <w:t>.</w:t>
      </w:r>
      <w:r>
        <w:rPr>
          <w:rFonts w:asciiTheme="majorBidi" w:hAnsiTheme="majorBidi" w:cstheme="majorBidi"/>
          <w:b/>
          <w:bCs/>
          <w:sz w:val="24"/>
          <w:szCs w:val="24"/>
        </w:rPr>
        <w:t xml:space="preserve">1. </w:t>
      </w:r>
      <w:r w:rsidR="006D2DD5" w:rsidRPr="0033643F">
        <w:rPr>
          <w:rFonts w:asciiTheme="majorBidi" w:hAnsiTheme="majorBidi" w:cstheme="majorBidi"/>
          <w:b/>
          <w:bCs/>
          <w:sz w:val="24"/>
          <w:szCs w:val="24"/>
        </w:rPr>
        <w:t>Tujuan Penelitian</w:t>
      </w:r>
    </w:p>
    <w:p w:rsidR="006D2DD5" w:rsidRDefault="00DD6387" w:rsidP="006D2DD5">
      <w:pPr>
        <w:spacing w:after="0"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r w:rsidR="006D2DD5">
        <w:rPr>
          <w:rFonts w:asciiTheme="majorBidi" w:hAnsiTheme="majorBidi" w:cstheme="majorBidi"/>
          <w:sz w:val="24"/>
          <w:szCs w:val="24"/>
        </w:rPr>
        <w:t>Tujuan dalam penelitian ini adalah:</w:t>
      </w:r>
    </w:p>
    <w:p w:rsidR="006D2DD5" w:rsidRDefault="006D2DD5" w:rsidP="006D2DD5">
      <w:pPr>
        <w:pStyle w:val="ListParagraph"/>
        <w:numPr>
          <w:ilvl w:val="0"/>
          <w:numId w:val="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Me</w:t>
      </w:r>
      <w:r w:rsidR="00764EDA">
        <w:rPr>
          <w:rFonts w:asciiTheme="majorBidi" w:hAnsiTheme="majorBidi" w:cstheme="majorBidi"/>
          <w:sz w:val="24"/>
          <w:szCs w:val="24"/>
          <w:lang w:val="en-US"/>
        </w:rPr>
        <w:t>ngetahui</w:t>
      </w:r>
      <w:r>
        <w:rPr>
          <w:rFonts w:asciiTheme="majorBidi" w:hAnsiTheme="majorBidi" w:cstheme="majorBidi"/>
          <w:sz w:val="24"/>
          <w:szCs w:val="24"/>
        </w:rPr>
        <w:t xml:space="preserve"> bagaimana</w:t>
      </w:r>
      <w:r w:rsidR="00764EDA">
        <w:rPr>
          <w:rFonts w:asciiTheme="majorBidi" w:hAnsiTheme="majorBidi" w:cstheme="majorBidi"/>
          <w:sz w:val="24"/>
          <w:szCs w:val="24"/>
          <w:lang w:val="en-US"/>
        </w:rPr>
        <w:t xml:space="preserve"> Pengaruh</w:t>
      </w:r>
      <w:r>
        <w:rPr>
          <w:rFonts w:asciiTheme="majorBidi" w:hAnsiTheme="majorBidi" w:cstheme="majorBidi"/>
          <w:sz w:val="24"/>
          <w:szCs w:val="24"/>
        </w:rPr>
        <w:t xml:space="preserve"> Akuntabilitas Publik terhadap Kinerja Manajerial </w:t>
      </w:r>
      <w:r w:rsidRPr="003F41B4">
        <w:rPr>
          <w:rFonts w:asciiTheme="majorBidi" w:hAnsiTheme="majorBidi" w:cstheme="majorBidi"/>
          <w:sz w:val="24"/>
          <w:szCs w:val="24"/>
        </w:rPr>
        <w:t xml:space="preserve">pada Organisasi Perangkat Daerah (OPD) </w:t>
      </w:r>
      <w:r>
        <w:rPr>
          <w:rFonts w:asciiTheme="majorBidi" w:hAnsiTheme="majorBidi" w:cstheme="majorBidi"/>
          <w:sz w:val="24"/>
          <w:szCs w:val="24"/>
        </w:rPr>
        <w:t>Provinsi Sumatera Selatan</w:t>
      </w:r>
      <w:r w:rsidR="006B7B60">
        <w:rPr>
          <w:rFonts w:asciiTheme="majorBidi" w:hAnsiTheme="majorBidi" w:cstheme="majorBidi"/>
          <w:sz w:val="24"/>
          <w:szCs w:val="24"/>
          <w:lang w:val="en-US"/>
        </w:rPr>
        <w:t>.</w:t>
      </w:r>
    </w:p>
    <w:p w:rsidR="006D2DD5" w:rsidRDefault="00764EDA" w:rsidP="006D2DD5">
      <w:pPr>
        <w:pStyle w:val="ListParagraph"/>
        <w:numPr>
          <w:ilvl w:val="0"/>
          <w:numId w:val="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en-US"/>
        </w:rPr>
        <w:t>Mengetahui</w:t>
      </w:r>
      <w:r w:rsidR="006D2DD5" w:rsidRPr="00B3701F">
        <w:rPr>
          <w:rFonts w:asciiTheme="majorBidi" w:hAnsiTheme="majorBidi" w:cstheme="majorBidi"/>
          <w:sz w:val="24"/>
          <w:szCs w:val="24"/>
        </w:rPr>
        <w:t xml:space="preserve"> bagaimana</w:t>
      </w:r>
      <w:r>
        <w:rPr>
          <w:rFonts w:asciiTheme="majorBidi" w:hAnsiTheme="majorBidi" w:cstheme="majorBidi"/>
          <w:sz w:val="24"/>
          <w:szCs w:val="24"/>
          <w:lang w:val="en-US"/>
        </w:rPr>
        <w:t xml:space="preserve"> Pengaruh</w:t>
      </w:r>
      <w:r w:rsidR="006D2DD5" w:rsidRPr="00B3701F">
        <w:rPr>
          <w:rFonts w:asciiTheme="majorBidi" w:hAnsiTheme="majorBidi" w:cstheme="majorBidi"/>
          <w:sz w:val="24"/>
          <w:szCs w:val="24"/>
        </w:rPr>
        <w:t xml:space="preserve"> Kejelasan Sasaran Angg</w:t>
      </w:r>
      <w:r>
        <w:rPr>
          <w:rFonts w:asciiTheme="majorBidi" w:hAnsiTheme="majorBidi" w:cstheme="majorBidi"/>
          <w:sz w:val="24"/>
          <w:szCs w:val="24"/>
          <w:lang w:val="en-US"/>
        </w:rPr>
        <w:t>a</w:t>
      </w:r>
      <w:r w:rsidR="006D2DD5" w:rsidRPr="00B3701F">
        <w:rPr>
          <w:rFonts w:asciiTheme="majorBidi" w:hAnsiTheme="majorBidi" w:cstheme="majorBidi"/>
          <w:sz w:val="24"/>
          <w:szCs w:val="24"/>
        </w:rPr>
        <w:t xml:space="preserve">ran terhadap Kinerja Manajerial pada Organisasi Perangkat Daerah (OPD) </w:t>
      </w:r>
      <w:r w:rsidR="006D2DD5">
        <w:rPr>
          <w:rFonts w:asciiTheme="majorBidi" w:hAnsiTheme="majorBidi" w:cstheme="majorBidi"/>
          <w:sz w:val="24"/>
          <w:szCs w:val="24"/>
        </w:rPr>
        <w:t>Provinsi Sumatera Selatan</w:t>
      </w:r>
      <w:r w:rsidR="006B7B60">
        <w:rPr>
          <w:rFonts w:asciiTheme="majorBidi" w:hAnsiTheme="majorBidi" w:cstheme="majorBidi"/>
          <w:sz w:val="24"/>
          <w:szCs w:val="24"/>
          <w:lang w:val="en-US"/>
        </w:rPr>
        <w:t>.</w:t>
      </w:r>
    </w:p>
    <w:p w:rsidR="006D2DD5" w:rsidRPr="00C158A7" w:rsidRDefault="00764EDA" w:rsidP="006D2DD5">
      <w:pPr>
        <w:pStyle w:val="ListParagraph"/>
        <w:numPr>
          <w:ilvl w:val="0"/>
          <w:numId w:val="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en-US"/>
        </w:rPr>
        <w:t>Mengetahui</w:t>
      </w:r>
      <w:r w:rsidR="006D2DD5" w:rsidRPr="00B3701F">
        <w:rPr>
          <w:rFonts w:asciiTheme="majorBidi" w:hAnsiTheme="majorBidi" w:cstheme="majorBidi"/>
          <w:sz w:val="24"/>
          <w:szCs w:val="24"/>
        </w:rPr>
        <w:t xml:space="preserve"> bagaimana</w:t>
      </w:r>
      <w:r>
        <w:rPr>
          <w:rFonts w:asciiTheme="majorBidi" w:hAnsiTheme="majorBidi" w:cstheme="majorBidi"/>
          <w:sz w:val="24"/>
          <w:szCs w:val="24"/>
          <w:lang w:val="en-US"/>
        </w:rPr>
        <w:t xml:space="preserve"> Pengaruh</w:t>
      </w:r>
      <w:r w:rsidR="006D2DD5" w:rsidRPr="00B3701F">
        <w:rPr>
          <w:rFonts w:asciiTheme="majorBidi" w:hAnsiTheme="majorBidi" w:cstheme="majorBidi"/>
          <w:sz w:val="24"/>
          <w:szCs w:val="24"/>
        </w:rPr>
        <w:t xml:space="preserve"> Akuntabilitas Publi</w:t>
      </w:r>
      <w:r w:rsidR="006D2DD5">
        <w:rPr>
          <w:rFonts w:asciiTheme="majorBidi" w:hAnsiTheme="majorBidi" w:cstheme="majorBidi"/>
          <w:sz w:val="24"/>
          <w:szCs w:val="24"/>
        </w:rPr>
        <w:t>k dan Kejelasan Sasaran Angg</w:t>
      </w:r>
      <w:r>
        <w:rPr>
          <w:rFonts w:asciiTheme="majorBidi" w:hAnsiTheme="majorBidi" w:cstheme="majorBidi"/>
          <w:sz w:val="24"/>
          <w:szCs w:val="24"/>
          <w:lang w:val="en-US"/>
        </w:rPr>
        <w:t>a</w:t>
      </w:r>
      <w:r w:rsidR="006D2DD5">
        <w:rPr>
          <w:rFonts w:asciiTheme="majorBidi" w:hAnsiTheme="majorBidi" w:cstheme="majorBidi"/>
          <w:sz w:val="24"/>
          <w:szCs w:val="24"/>
        </w:rPr>
        <w:t xml:space="preserve">ran </w:t>
      </w:r>
      <w:r w:rsidR="006D2DD5" w:rsidRPr="00B3701F">
        <w:rPr>
          <w:rFonts w:asciiTheme="majorBidi" w:hAnsiTheme="majorBidi" w:cstheme="majorBidi"/>
          <w:sz w:val="24"/>
          <w:szCs w:val="24"/>
        </w:rPr>
        <w:t xml:space="preserve">terhadap Kinerja Manajerial pada Organisasi Perangkat Daerah (OPD) </w:t>
      </w:r>
      <w:r w:rsidR="006D2DD5">
        <w:rPr>
          <w:rFonts w:asciiTheme="majorBidi" w:hAnsiTheme="majorBidi" w:cstheme="majorBidi"/>
          <w:sz w:val="24"/>
          <w:szCs w:val="24"/>
        </w:rPr>
        <w:t>Provinsi Sumatera Selatan</w:t>
      </w:r>
      <w:r w:rsidR="006B7B60">
        <w:rPr>
          <w:rFonts w:asciiTheme="majorBidi" w:hAnsiTheme="majorBidi" w:cstheme="majorBidi"/>
          <w:sz w:val="24"/>
          <w:szCs w:val="24"/>
          <w:lang w:val="en-US"/>
        </w:rPr>
        <w:t>.</w:t>
      </w:r>
    </w:p>
    <w:p w:rsidR="006D2DD5" w:rsidRPr="00EA3031" w:rsidRDefault="00DD6387" w:rsidP="006D2DD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1.4</w:t>
      </w:r>
      <w:r w:rsidR="006D2DD5">
        <w:rPr>
          <w:rFonts w:asciiTheme="majorBidi" w:hAnsiTheme="majorBidi" w:cstheme="majorBidi"/>
          <w:b/>
          <w:bCs/>
          <w:sz w:val="24"/>
          <w:szCs w:val="24"/>
        </w:rPr>
        <w:t>.</w:t>
      </w:r>
      <w:r>
        <w:rPr>
          <w:rFonts w:asciiTheme="majorBidi" w:hAnsiTheme="majorBidi" w:cstheme="majorBidi"/>
          <w:b/>
          <w:bCs/>
          <w:sz w:val="24"/>
          <w:szCs w:val="24"/>
        </w:rPr>
        <w:t xml:space="preserve">2.  </w:t>
      </w:r>
      <w:r w:rsidR="006D2DD5" w:rsidRPr="00EA3031">
        <w:rPr>
          <w:rFonts w:asciiTheme="majorBidi" w:hAnsiTheme="majorBidi" w:cstheme="majorBidi"/>
          <w:b/>
          <w:bCs/>
          <w:sz w:val="24"/>
          <w:szCs w:val="24"/>
        </w:rPr>
        <w:t>Manfaat Penelitian</w:t>
      </w:r>
    </w:p>
    <w:p w:rsidR="006D2DD5" w:rsidRPr="007320DD" w:rsidRDefault="00DD6387" w:rsidP="006D2DD5">
      <w:pPr>
        <w:spacing w:after="0"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r w:rsidR="006D2DD5">
        <w:rPr>
          <w:rFonts w:asciiTheme="majorBidi" w:hAnsiTheme="majorBidi" w:cstheme="majorBidi"/>
          <w:sz w:val="24"/>
          <w:szCs w:val="24"/>
        </w:rPr>
        <w:t>M</w:t>
      </w:r>
      <w:r w:rsidR="006D2DD5" w:rsidRPr="007320DD">
        <w:rPr>
          <w:rFonts w:asciiTheme="majorBidi" w:hAnsiTheme="majorBidi" w:cstheme="majorBidi"/>
          <w:sz w:val="24"/>
          <w:szCs w:val="24"/>
        </w:rPr>
        <w:t>anfaat dalam penelitian ini adalah sebagai berikut:</w:t>
      </w:r>
    </w:p>
    <w:p w:rsidR="006D2DD5" w:rsidRPr="007B7172" w:rsidRDefault="006D2DD5" w:rsidP="006D2DD5">
      <w:pPr>
        <w:pStyle w:val="ListParagraph"/>
        <w:numPr>
          <w:ilvl w:val="0"/>
          <w:numId w:val="3"/>
        </w:numPr>
        <w:spacing w:after="0" w:line="360" w:lineRule="auto"/>
        <w:ind w:left="284" w:hanging="284"/>
        <w:jc w:val="both"/>
        <w:rPr>
          <w:rFonts w:asciiTheme="majorBidi" w:hAnsiTheme="majorBidi" w:cstheme="majorBidi"/>
          <w:sz w:val="24"/>
          <w:szCs w:val="24"/>
        </w:rPr>
      </w:pPr>
      <w:r w:rsidRPr="007B7172">
        <w:rPr>
          <w:rFonts w:asciiTheme="majorBidi" w:hAnsiTheme="majorBidi" w:cstheme="majorBidi"/>
          <w:sz w:val="24"/>
          <w:szCs w:val="24"/>
        </w:rPr>
        <w:t xml:space="preserve">Bagi Penulis, dapat menambah wawasan dan pengetahuan tentang Pengaruh Akuntabilitas Publik dan Kejelasan Sasaran Anggaran terhadap Kinerja Manajerial pada Organisasi Perangkat Daerah (OPD) </w:t>
      </w:r>
      <w:r>
        <w:rPr>
          <w:rFonts w:asciiTheme="majorBidi" w:hAnsiTheme="majorBidi" w:cstheme="majorBidi"/>
          <w:sz w:val="24"/>
          <w:szCs w:val="24"/>
        </w:rPr>
        <w:t>Provinsi Sumatera Selatan</w:t>
      </w:r>
      <w:r w:rsidRPr="007B7172">
        <w:rPr>
          <w:rFonts w:asciiTheme="majorBidi" w:hAnsiTheme="majorBidi" w:cstheme="majorBidi"/>
          <w:sz w:val="24"/>
          <w:szCs w:val="24"/>
        </w:rPr>
        <w:t xml:space="preserve"> baik secara simultan maupun secara parsial.</w:t>
      </w:r>
    </w:p>
    <w:p w:rsidR="006D2DD5" w:rsidRPr="007B7172" w:rsidRDefault="006D2DD5" w:rsidP="006D2DD5">
      <w:pPr>
        <w:pStyle w:val="ListParagraph"/>
        <w:numPr>
          <w:ilvl w:val="0"/>
          <w:numId w:val="3"/>
        </w:numPr>
        <w:spacing w:after="0" w:line="360" w:lineRule="auto"/>
        <w:ind w:left="284" w:hanging="284"/>
        <w:jc w:val="both"/>
        <w:rPr>
          <w:rFonts w:asciiTheme="majorBidi" w:hAnsiTheme="majorBidi" w:cstheme="majorBidi"/>
          <w:sz w:val="24"/>
          <w:szCs w:val="24"/>
        </w:rPr>
      </w:pPr>
      <w:r w:rsidRPr="007B7172">
        <w:rPr>
          <w:rFonts w:asciiTheme="majorBidi" w:hAnsiTheme="majorBidi" w:cstheme="majorBidi"/>
          <w:sz w:val="24"/>
          <w:szCs w:val="24"/>
        </w:rPr>
        <w:t>Bagi Akademisi, diharapkan penelitian ini dapat memperkaya bahan kepustakaan dan mampu memberikan kontribusi pada pengembangan teori, terutama yang berkaitan dengan sistem pengendalian manajemen sektor publik, serta dapat dijadikan referensi untuk penelitian selanjutnya</w:t>
      </w:r>
    </w:p>
    <w:p w:rsidR="00830578" w:rsidRPr="00C5414E" w:rsidRDefault="006D2DD5" w:rsidP="00C5414E">
      <w:pPr>
        <w:pStyle w:val="ListParagraph"/>
        <w:numPr>
          <w:ilvl w:val="0"/>
          <w:numId w:val="3"/>
        </w:numPr>
        <w:spacing w:after="0" w:line="360" w:lineRule="auto"/>
        <w:ind w:left="284" w:hanging="284"/>
        <w:jc w:val="both"/>
        <w:rPr>
          <w:rFonts w:asciiTheme="majorBidi" w:hAnsiTheme="majorBidi" w:cstheme="majorBidi"/>
          <w:sz w:val="24"/>
          <w:szCs w:val="24"/>
        </w:rPr>
      </w:pPr>
      <w:r w:rsidRPr="007B7172">
        <w:rPr>
          <w:rFonts w:asciiTheme="majorBidi" w:hAnsiTheme="majorBidi" w:cstheme="majorBidi"/>
          <w:sz w:val="24"/>
          <w:szCs w:val="24"/>
        </w:rPr>
        <w:t>Bagi organisasi Se</w:t>
      </w:r>
      <w:r>
        <w:rPr>
          <w:rFonts w:asciiTheme="majorBidi" w:hAnsiTheme="majorBidi" w:cstheme="majorBidi"/>
          <w:sz w:val="24"/>
          <w:szCs w:val="24"/>
        </w:rPr>
        <w:t>k</w:t>
      </w:r>
      <w:r w:rsidRPr="007B7172">
        <w:rPr>
          <w:rFonts w:asciiTheme="majorBidi" w:hAnsiTheme="majorBidi" w:cstheme="majorBidi"/>
          <w:sz w:val="24"/>
          <w:szCs w:val="24"/>
        </w:rPr>
        <w:t>tor Publik atau Pihak yang terkait, bagi instansi pemerintahan dari faktor akuntabilitas publik dan kejelasan sasaran anggaran yang dapat mempengaruhi kinerja manajerial tersebut diharapkan dapat menjadi hak pertimbangan dalam membuat keputusan.</w:t>
      </w:r>
    </w:p>
    <w:p w:rsidR="00C5414E" w:rsidRPr="00C5414E" w:rsidRDefault="00C5414E" w:rsidP="00C5414E">
      <w:pPr>
        <w:pStyle w:val="ListParagraph"/>
        <w:spacing w:after="0" w:line="360" w:lineRule="auto"/>
        <w:ind w:left="284"/>
        <w:jc w:val="both"/>
        <w:rPr>
          <w:rFonts w:asciiTheme="majorBidi" w:hAnsiTheme="majorBidi" w:cstheme="majorBidi"/>
          <w:sz w:val="24"/>
          <w:szCs w:val="24"/>
        </w:rPr>
      </w:pPr>
    </w:p>
    <w:p w:rsidR="00764EDA" w:rsidRDefault="00764EDA" w:rsidP="00764ED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 xml:space="preserve">1.5.     </w:t>
      </w:r>
      <w:r w:rsidRPr="00EA3031">
        <w:rPr>
          <w:rFonts w:asciiTheme="majorBidi" w:hAnsiTheme="majorBidi" w:cstheme="majorBidi"/>
          <w:b/>
          <w:bCs/>
          <w:sz w:val="24"/>
          <w:szCs w:val="24"/>
        </w:rPr>
        <w:t xml:space="preserve">Sistematika Penulisan </w:t>
      </w:r>
    </w:p>
    <w:p w:rsidR="00764EDA" w:rsidRDefault="00764EDA" w:rsidP="00764EDA">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Sistematika penulisan ini bertujuan untuk memberikan garis besar mengenai isi tugas akhir/skripsi secara singkat dan jelas, sehingga terdapat gambaran hubungan antara masing-masing bab. Dimana bab tersebut menjadi </w:t>
      </w:r>
      <w:r>
        <w:rPr>
          <w:rFonts w:asciiTheme="majorBidi" w:hAnsiTheme="majorBidi" w:cstheme="majorBidi"/>
          <w:sz w:val="24"/>
          <w:szCs w:val="24"/>
        </w:rPr>
        <w:lastRenderedPageBreak/>
        <w:t>beberapa sub-</w:t>
      </w:r>
      <w:r w:rsidR="00767BD7">
        <w:rPr>
          <w:rFonts w:asciiTheme="majorBidi" w:hAnsiTheme="majorBidi" w:cstheme="majorBidi"/>
          <w:sz w:val="24"/>
          <w:szCs w:val="24"/>
        </w:rPr>
        <w:t xml:space="preserve">sub secara keseluruhan. </w:t>
      </w:r>
      <w:r w:rsidR="00767BD7">
        <w:rPr>
          <w:rFonts w:asciiTheme="majorBidi" w:hAnsiTheme="majorBidi" w:cstheme="majorBidi"/>
          <w:sz w:val="24"/>
          <w:szCs w:val="24"/>
          <w:lang w:val="en-US"/>
        </w:rPr>
        <w:t>S</w:t>
      </w:r>
      <w:r>
        <w:rPr>
          <w:rFonts w:asciiTheme="majorBidi" w:hAnsiTheme="majorBidi" w:cstheme="majorBidi"/>
          <w:sz w:val="24"/>
          <w:szCs w:val="24"/>
        </w:rPr>
        <w:t>istematika penulisan ini terdiri dari 5 (lima) bab, yaitu sebagai berikut:</w:t>
      </w:r>
    </w:p>
    <w:p w:rsidR="00764EDA" w:rsidRPr="0079617F" w:rsidRDefault="00764EDA" w:rsidP="00764ED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w:t>
      </w:r>
      <w:r>
        <w:rPr>
          <w:rFonts w:asciiTheme="majorBidi" w:hAnsiTheme="majorBidi" w:cstheme="majorBidi"/>
          <w:b/>
          <w:bCs/>
          <w:sz w:val="24"/>
          <w:szCs w:val="24"/>
        </w:rPr>
        <w:tab/>
      </w:r>
      <w:r>
        <w:rPr>
          <w:rFonts w:asciiTheme="majorBidi" w:hAnsiTheme="majorBidi" w:cstheme="majorBidi"/>
          <w:b/>
          <w:bCs/>
          <w:sz w:val="24"/>
          <w:szCs w:val="24"/>
        </w:rPr>
        <w:tab/>
      </w:r>
      <w:r w:rsidRPr="0079617F">
        <w:rPr>
          <w:rFonts w:asciiTheme="majorBidi" w:hAnsiTheme="majorBidi" w:cstheme="majorBidi"/>
          <w:b/>
          <w:bCs/>
          <w:sz w:val="24"/>
          <w:szCs w:val="24"/>
        </w:rPr>
        <w:t xml:space="preserve">PENDAHULUAN </w:t>
      </w:r>
    </w:p>
    <w:p w:rsidR="00764EDA" w:rsidRDefault="00764EDA" w:rsidP="00764EDA">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bab ini, penulis akan mengemukakan tentang apa yang melatar belakangi penulis dalam memilih judul, perumusan masalah, ruang lingkup pembahasan, tujuan dan manfaat penelitian, dan sistematika penulisan.  </w:t>
      </w:r>
    </w:p>
    <w:p w:rsidR="00764EDA" w:rsidRDefault="00764EDA" w:rsidP="00764ED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II</w:t>
      </w:r>
      <w:r>
        <w:rPr>
          <w:rFonts w:asciiTheme="majorBidi" w:hAnsiTheme="majorBidi" w:cstheme="majorBidi"/>
          <w:b/>
          <w:bCs/>
          <w:sz w:val="24"/>
          <w:szCs w:val="24"/>
        </w:rPr>
        <w:tab/>
        <w:t>TINJAUAN PUSTAKA</w:t>
      </w:r>
    </w:p>
    <w:p w:rsidR="00A5035D" w:rsidRPr="00A5035D" w:rsidRDefault="00764EDA" w:rsidP="004635A7">
      <w:pPr>
        <w:spacing w:after="0" w:line="360" w:lineRule="auto"/>
        <w:ind w:left="1418" w:hanging="1418"/>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t>Pada bab ini, penulis akan menguraikan teori-teori yang terkait dan melandasi pengaruh akuntabilitas publik dan kejelasan sasaran anggaran terhadap kinerja manajerial pada penelitian ini. Mulai dari pengertian akuntabilitas publik, kejelasan sasaran anggaran, kinerja manajerial, dan pengaruhnya terhadap kinerja manajerial pada OPD Provinsi Sumatera Selatan.</w:t>
      </w:r>
    </w:p>
    <w:p w:rsidR="00764EDA" w:rsidRDefault="00764EDA" w:rsidP="00764ED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III</w:t>
      </w:r>
      <w:r>
        <w:rPr>
          <w:rFonts w:asciiTheme="majorBidi" w:hAnsiTheme="majorBidi" w:cstheme="majorBidi"/>
          <w:b/>
          <w:bCs/>
          <w:sz w:val="24"/>
          <w:szCs w:val="24"/>
        </w:rPr>
        <w:tab/>
        <w:t>METODELOGI PENELITIAN</w:t>
      </w:r>
    </w:p>
    <w:p w:rsidR="00764EDA" w:rsidRDefault="00764EDA" w:rsidP="00764EDA">
      <w:p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ab/>
        <w:t>Pada bab ini berisi tentang variabel penelitian dan definisi operasional populasi dan sempel, metode pengumpulan data, dan metode analisisnya.</w:t>
      </w:r>
    </w:p>
    <w:p w:rsidR="00764EDA" w:rsidRDefault="00764EDA" w:rsidP="00764ED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BAB IV </w:t>
      </w:r>
      <w:r>
        <w:rPr>
          <w:rFonts w:asciiTheme="majorBidi" w:hAnsiTheme="majorBidi" w:cstheme="majorBidi"/>
          <w:b/>
          <w:bCs/>
          <w:sz w:val="24"/>
          <w:szCs w:val="24"/>
        </w:rPr>
        <w:tab/>
        <w:t xml:space="preserve">HASIL DAN PEMBAHASAN </w:t>
      </w:r>
    </w:p>
    <w:p w:rsidR="00764EDA" w:rsidRPr="006F4B89" w:rsidRDefault="00764EDA" w:rsidP="00764EDA">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Bab ini menjelaskan hasil pengelolaan data dan pembahasan mengenai pengaruh akuntabilitas publik dan kejelasan sasaran anggaran terhadap kinerja manajerial pada OPD Provinsi Sumatera Selatan.</w:t>
      </w:r>
    </w:p>
    <w:p w:rsidR="00764EDA" w:rsidRDefault="00764EDA" w:rsidP="00764ED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V</w:t>
      </w:r>
      <w:r>
        <w:rPr>
          <w:rFonts w:asciiTheme="majorBidi" w:hAnsiTheme="majorBidi" w:cstheme="majorBidi"/>
          <w:b/>
          <w:bCs/>
          <w:sz w:val="24"/>
          <w:szCs w:val="24"/>
        </w:rPr>
        <w:tab/>
        <w:t>KESIMPULAN DAN SARAN</w:t>
      </w:r>
    </w:p>
    <w:p w:rsidR="00764EDA" w:rsidRPr="00830578" w:rsidRDefault="00764EDA" w:rsidP="00830578">
      <w:pPr>
        <w:spacing w:after="0" w:line="360" w:lineRule="auto"/>
        <w:ind w:left="1418" w:hanging="1418"/>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t xml:space="preserve">Pada bab ini berisi pemaparan kesimpulan dari hasil analisis dan pembahasan penelitian serta rekomendasi penulis sebagai bentuk pemaknaan terhadap hasil penelitian. </w:t>
      </w:r>
    </w:p>
    <w:sectPr w:rsidR="00764EDA" w:rsidRPr="00830578" w:rsidSect="00CD5D9A">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84" w:rsidRDefault="00FB5384" w:rsidP="00AC1995">
      <w:pPr>
        <w:spacing w:after="0" w:line="240" w:lineRule="auto"/>
      </w:pPr>
      <w:r>
        <w:separator/>
      </w:r>
    </w:p>
  </w:endnote>
  <w:endnote w:type="continuationSeparator" w:id="1">
    <w:p w:rsidR="00FB5384" w:rsidRDefault="00FB5384" w:rsidP="00AC1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62" w:rsidRDefault="008F3A62">
    <w:pPr>
      <w:pStyle w:val="Footer"/>
      <w:jc w:val="center"/>
    </w:pPr>
  </w:p>
  <w:p w:rsidR="008F3A62" w:rsidRDefault="008F3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485"/>
      <w:docPartObj>
        <w:docPartGallery w:val="Page Numbers (Bottom of Page)"/>
        <w:docPartUnique/>
      </w:docPartObj>
    </w:sdtPr>
    <w:sdtContent>
      <w:p w:rsidR="008F3A62" w:rsidRDefault="008B5F1D">
        <w:pPr>
          <w:pStyle w:val="Footer"/>
          <w:jc w:val="center"/>
        </w:pPr>
        <w:fldSimple w:instr=" PAGE   \* MERGEFORMAT ">
          <w:r w:rsidR="00631355">
            <w:rPr>
              <w:noProof/>
            </w:rPr>
            <w:t>1</w:t>
          </w:r>
        </w:fldSimple>
      </w:p>
    </w:sdtContent>
  </w:sdt>
  <w:p w:rsidR="008F3A62" w:rsidRDefault="008F3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84" w:rsidRDefault="00FB5384" w:rsidP="00AC1995">
      <w:pPr>
        <w:spacing w:after="0" w:line="240" w:lineRule="auto"/>
      </w:pPr>
      <w:r>
        <w:separator/>
      </w:r>
    </w:p>
  </w:footnote>
  <w:footnote w:type="continuationSeparator" w:id="1">
    <w:p w:rsidR="00FB5384" w:rsidRDefault="00FB5384" w:rsidP="00AC1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14847"/>
      <w:docPartObj>
        <w:docPartGallery w:val="Page Numbers (Top of Page)"/>
        <w:docPartUnique/>
      </w:docPartObj>
    </w:sdtPr>
    <w:sdtContent>
      <w:p w:rsidR="008F3A62" w:rsidRDefault="008B5F1D">
        <w:pPr>
          <w:pStyle w:val="Header"/>
          <w:jc w:val="right"/>
        </w:pPr>
        <w:fldSimple w:instr=" PAGE   \* MERGEFORMAT ">
          <w:r w:rsidR="00631355">
            <w:rPr>
              <w:noProof/>
            </w:rPr>
            <w:t>9</w:t>
          </w:r>
        </w:fldSimple>
      </w:p>
    </w:sdtContent>
  </w:sdt>
  <w:p w:rsidR="008F3A62" w:rsidRDefault="008F3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609A"/>
    <w:multiLevelType w:val="hybridMultilevel"/>
    <w:tmpl w:val="41583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228C0"/>
    <w:multiLevelType w:val="hybridMultilevel"/>
    <w:tmpl w:val="F9804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D633F"/>
    <w:multiLevelType w:val="hybridMultilevel"/>
    <w:tmpl w:val="699261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C746EE"/>
    <w:multiLevelType w:val="hybridMultilevel"/>
    <w:tmpl w:val="AC9ED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1B207D1"/>
    <w:multiLevelType w:val="hybridMultilevel"/>
    <w:tmpl w:val="3112F33A"/>
    <w:lvl w:ilvl="0" w:tplc="0421000F">
      <w:start w:val="1"/>
      <w:numFmt w:val="decimal"/>
      <w:lvlText w:val="%1."/>
      <w:lvlJc w:val="left"/>
      <w:pPr>
        <w:ind w:left="4330"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78453CBD"/>
    <w:multiLevelType w:val="hybridMultilevel"/>
    <w:tmpl w:val="C8AC2C88"/>
    <w:lvl w:ilvl="0" w:tplc="0421000F">
      <w:start w:val="1"/>
      <w:numFmt w:val="decimal"/>
      <w:lvlText w:val="%1."/>
      <w:lvlJc w:val="left"/>
      <w:pPr>
        <w:ind w:left="4330"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2DD5"/>
    <w:rsid w:val="000123D9"/>
    <w:rsid w:val="00024B55"/>
    <w:rsid w:val="000440A5"/>
    <w:rsid w:val="0005443C"/>
    <w:rsid w:val="00054F06"/>
    <w:rsid w:val="00063C1A"/>
    <w:rsid w:val="000A7643"/>
    <w:rsid w:val="000D34A0"/>
    <w:rsid w:val="000D6311"/>
    <w:rsid w:val="000F3911"/>
    <w:rsid w:val="001065D0"/>
    <w:rsid w:val="00121D86"/>
    <w:rsid w:val="00122692"/>
    <w:rsid w:val="00122C8C"/>
    <w:rsid w:val="00125ACF"/>
    <w:rsid w:val="00144BA1"/>
    <w:rsid w:val="00144F4E"/>
    <w:rsid w:val="001712D2"/>
    <w:rsid w:val="0017212F"/>
    <w:rsid w:val="00173818"/>
    <w:rsid w:val="001809B0"/>
    <w:rsid w:val="001C50FB"/>
    <w:rsid w:val="001D3CBF"/>
    <w:rsid w:val="001D76DD"/>
    <w:rsid w:val="001E3B22"/>
    <w:rsid w:val="00213377"/>
    <w:rsid w:val="00246A87"/>
    <w:rsid w:val="002C28C0"/>
    <w:rsid w:val="002D6786"/>
    <w:rsid w:val="002E2220"/>
    <w:rsid w:val="00305259"/>
    <w:rsid w:val="003056D8"/>
    <w:rsid w:val="00307C79"/>
    <w:rsid w:val="00311C88"/>
    <w:rsid w:val="00312805"/>
    <w:rsid w:val="00317C73"/>
    <w:rsid w:val="00321D8E"/>
    <w:rsid w:val="00340BF6"/>
    <w:rsid w:val="00362498"/>
    <w:rsid w:val="00387D06"/>
    <w:rsid w:val="003A504F"/>
    <w:rsid w:val="003A7DF2"/>
    <w:rsid w:val="003F7322"/>
    <w:rsid w:val="00400977"/>
    <w:rsid w:val="00432EAF"/>
    <w:rsid w:val="00435BBB"/>
    <w:rsid w:val="00450F23"/>
    <w:rsid w:val="004635A7"/>
    <w:rsid w:val="004710F7"/>
    <w:rsid w:val="00487CED"/>
    <w:rsid w:val="004A1CF0"/>
    <w:rsid w:val="004B1C4D"/>
    <w:rsid w:val="004C28CE"/>
    <w:rsid w:val="004C5804"/>
    <w:rsid w:val="004D0036"/>
    <w:rsid w:val="004D2B81"/>
    <w:rsid w:val="004E3653"/>
    <w:rsid w:val="004F146B"/>
    <w:rsid w:val="00504976"/>
    <w:rsid w:val="0050707B"/>
    <w:rsid w:val="0052310B"/>
    <w:rsid w:val="00535942"/>
    <w:rsid w:val="00551A5D"/>
    <w:rsid w:val="00564F3B"/>
    <w:rsid w:val="00570915"/>
    <w:rsid w:val="00580EFB"/>
    <w:rsid w:val="00581042"/>
    <w:rsid w:val="005904BA"/>
    <w:rsid w:val="005A3222"/>
    <w:rsid w:val="005A6793"/>
    <w:rsid w:val="005B00F0"/>
    <w:rsid w:val="005B1799"/>
    <w:rsid w:val="005B485F"/>
    <w:rsid w:val="005F0F51"/>
    <w:rsid w:val="005F2C80"/>
    <w:rsid w:val="00600BD3"/>
    <w:rsid w:val="006022A0"/>
    <w:rsid w:val="00631355"/>
    <w:rsid w:val="006404BD"/>
    <w:rsid w:val="0065659D"/>
    <w:rsid w:val="00671BBC"/>
    <w:rsid w:val="00692554"/>
    <w:rsid w:val="006977EE"/>
    <w:rsid w:val="006A70A1"/>
    <w:rsid w:val="006B322B"/>
    <w:rsid w:val="006B7B60"/>
    <w:rsid w:val="006C1284"/>
    <w:rsid w:val="006C5B58"/>
    <w:rsid w:val="006C76AF"/>
    <w:rsid w:val="006D2DD5"/>
    <w:rsid w:val="006F38FD"/>
    <w:rsid w:val="00706E03"/>
    <w:rsid w:val="00723082"/>
    <w:rsid w:val="007246D1"/>
    <w:rsid w:val="007521E6"/>
    <w:rsid w:val="00757ABA"/>
    <w:rsid w:val="00761196"/>
    <w:rsid w:val="00764EDA"/>
    <w:rsid w:val="007657CF"/>
    <w:rsid w:val="00767BD7"/>
    <w:rsid w:val="00776A27"/>
    <w:rsid w:val="007954F6"/>
    <w:rsid w:val="007E4227"/>
    <w:rsid w:val="007F158E"/>
    <w:rsid w:val="008008BB"/>
    <w:rsid w:val="00816C42"/>
    <w:rsid w:val="00830578"/>
    <w:rsid w:val="0083108E"/>
    <w:rsid w:val="00835C7A"/>
    <w:rsid w:val="00840F79"/>
    <w:rsid w:val="00843548"/>
    <w:rsid w:val="00873459"/>
    <w:rsid w:val="008919F9"/>
    <w:rsid w:val="00891A74"/>
    <w:rsid w:val="008A11AB"/>
    <w:rsid w:val="008B5F1D"/>
    <w:rsid w:val="008C2FF8"/>
    <w:rsid w:val="008D307B"/>
    <w:rsid w:val="008D550E"/>
    <w:rsid w:val="008E5D2A"/>
    <w:rsid w:val="008F3227"/>
    <w:rsid w:val="008F3A62"/>
    <w:rsid w:val="00907778"/>
    <w:rsid w:val="00930FD2"/>
    <w:rsid w:val="00936712"/>
    <w:rsid w:val="0094417B"/>
    <w:rsid w:val="00957921"/>
    <w:rsid w:val="00960226"/>
    <w:rsid w:val="0096178B"/>
    <w:rsid w:val="0096784B"/>
    <w:rsid w:val="00972F08"/>
    <w:rsid w:val="00981AA1"/>
    <w:rsid w:val="009A3559"/>
    <w:rsid w:val="009B65A4"/>
    <w:rsid w:val="009C0106"/>
    <w:rsid w:val="009D2388"/>
    <w:rsid w:val="009D3405"/>
    <w:rsid w:val="009E00C8"/>
    <w:rsid w:val="00A11180"/>
    <w:rsid w:val="00A213F5"/>
    <w:rsid w:val="00A26A46"/>
    <w:rsid w:val="00A5017C"/>
    <w:rsid w:val="00A50256"/>
    <w:rsid w:val="00A5035D"/>
    <w:rsid w:val="00A5301F"/>
    <w:rsid w:val="00A53028"/>
    <w:rsid w:val="00A57D95"/>
    <w:rsid w:val="00A60D15"/>
    <w:rsid w:val="00A83809"/>
    <w:rsid w:val="00A96D87"/>
    <w:rsid w:val="00AA7674"/>
    <w:rsid w:val="00AB3CA8"/>
    <w:rsid w:val="00AB3F69"/>
    <w:rsid w:val="00AC1995"/>
    <w:rsid w:val="00AF18FD"/>
    <w:rsid w:val="00B108DC"/>
    <w:rsid w:val="00B43F35"/>
    <w:rsid w:val="00B553A6"/>
    <w:rsid w:val="00B620E5"/>
    <w:rsid w:val="00B65755"/>
    <w:rsid w:val="00B77FF4"/>
    <w:rsid w:val="00B92407"/>
    <w:rsid w:val="00BB2F55"/>
    <w:rsid w:val="00BB6D48"/>
    <w:rsid w:val="00BD17C1"/>
    <w:rsid w:val="00BE50D8"/>
    <w:rsid w:val="00BF048C"/>
    <w:rsid w:val="00BF271E"/>
    <w:rsid w:val="00BF4B1B"/>
    <w:rsid w:val="00C10AD7"/>
    <w:rsid w:val="00C21F87"/>
    <w:rsid w:val="00C26DEC"/>
    <w:rsid w:val="00C42A68"/>
    <w:rsid w:val="00C5414E"/>
    <w:rsid w:val="00C570DC"/>
    <w:rsid w:val="00C654B5"/>
    <w:rsid w:val="00C7354C"/>
    <w:rsid w:val="00C85F07"/>
    <w:rsid w:val="00C927A0"/>
    <w:rsid w:val="00CA0DEA"/>
    <w:rsid w:val="00CA4FC1"/>
    <w:rsid w:val="00CB2EC3"/>
    <w:rsid w:val="00CB45D9"/>
    <w:rsid w:val="00CC0DE3"/>
    <w:rsid w:val="00CD5D9A"/>
    <w:rsid w:val="00CE5608"/>
    <w:rsid w:val="00CF4978"/>
    <w:rsid w:val="00D80CE7"/>
    <w:rsid w:val="00D90D62"/>
    <w:rsid w:val="00D92A29"/>
    <w:rsid w:val="00DB770F"/>
    <w:rsid w:val="00DD03BA"/>
    <w:rsid w:val="00DD1EC6"/>
    <w:rsid w:val="00DD30B4"/>
    <w:rsid w:val="00DD36EA"/>
    <w:rsid w:val="00DD6387"/>
    <w:rsid w:val="00DF1B0D"/>
    <w:rsid w:val="00E0051F"/>
    <w:rsid w:val="00E029C8"/>
    <w:rsid w:val="00E20D76"/>
    <w:rsid w:val="00E225A5"/>
    <w:rsid w:val="00E508FE"/>
    <w:rsid w:val="00E572DB"/>
    <w:rsid w:val="00E62016"/>
    <w:rsid w:val="00E714CC"/>
    <w:rsid w:val="00E74623"/>
    <w:rsid w:val="00E8026F"/>
    <w:rsid w:val="00E81C7B"/>
    <w:rsid w:val="00EA12C4"/>
    <w:rsid w:val="00EC252E"/>
    <w:rsid w:val="00ED4485"/>
    <w:rsid w:val="00ED7150"/>
    <w:rsid w:val="00ED71AC"/>
    <w:rsid w:val="00EE1B44"/>
    <w:rsid w:val="00EE6922"/>
    <w:rsid w:val="00EF6FEF"/>
    <w:rsid w:val="00EF780B"/>
    <w:rsid w:val="00F14764"/>
    <w:rsid w:val="00F31E6E"/>
    <w:rsid w:val="00F328D3"/>
    <w:rsid w:val="00F71EBB"/>
    <w:rsid w:val="00F91491"/>
    <w:rsid w:val="00F91DD9"/>
    <w:rsid w:val="00F92425"/>
    <w:rsid w:val="00F924A1"/>
    <w:rsid w:val="00FA0747"/>
    <w:rsid w:val="00FA61BA"/>
    <w:rsid w:val="00FB42E6"/>
    <w:rsid w:val="00FB46C7"/>
    <w:rsid w:val="00FB5384"/>
    <w:rsid w:val="00FD387A"/>
    <w:rsid w:val="00FD4FB9"/>
    <w:rsid w:val="00FE2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6D2DD5"/>
    <w:pPr>
      <w:ind w:left="720"/>
      <w:contextualSpacing/>
    </w:pPr>
  </w:style>
  <w:style w:type="table" w:styleId="TableGrid">
    <w:name w:val="Table Grid"/>
    <w:basedOn w:val="TableNormal"/>
    <w:uiPriority w:val="59"/>
    <w:rsid w:val="006D2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DD5"/>
    <w:rPr>
      <w:rFonts w:ascii="Tahoma" w:hAnsi="Tahoma" w:cs="Tahoma"/>
      <w:sz w:val="16"/>
      <w:szCs w:val="16"/>
    </w:rPr>
  </w:style>
  <w:style w:type="paragraph" w:styleId="Header">
    <w:name w:val="header"/>
    <w:basedOn w:val="Normal"/>
    <w:link w:val="HeaderChar"/>
    <w:uiPriority w:val="99"/>
    <w:unhideWhenUsed/>
    <w:rsid w:val="00AC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995"/>
  </w:style>
  <w:style w:type="paragraph" w:styleId="Footer">
    <w:name w:val="footer"/>
    <w:basedOn w:val="Normal"/>
    <w:link w:val="FooterChar"/>
    <w:uiPriority w:val="99"/>
    <w:unhideWhenUsed/>
    <w:rsid w:val="00AC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995"/>
  </w:style>
  <w:style w:type="character" w:customStyle="1" w:styleId="ListParagraphChar">
    <w:name w:val="List Paragraph Char"/>
    <w:aliases w:val="spasi 2 taiiii Char,skripsi Char"/>
    <w:link w:val="ListParagraph"/>
    <w:uiPriority w:val="34"/>
    <w:rsid w:val="00A26A46"/>
  </w:style>
</w:styles>
</file>

<file path=word/webSettings.xml><?xml version="1.0" encoding="utf-8"?>
<w:webSettings xmlns:r="http://schemas.openxmlformats.org/officeDocument/2006/relationships" xmlns:w="http://schemas.openxmlformats.org/wordprocessingml/2006/main">
  <w:divs>
    <w:div w:id="14657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grafik%20skrip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2"/>
  <c:chart>
    <c:title>
      <c:tx>
        <c:rich>
          <a:bodyPr/>
          <a:lstStyle/>
          <a:p>
            <a:pPr>
              <a:defRPr lang="id-ID"/>
            </a:pPr>
            <a:r>
              <a:rPr lang="id-ID"/>
              <a:t>Pencapaian</a:t>
            </a:r>
            <a:r>
              <a:rPr lang="id-ID" baseline="0"/>
              <a:t> Realisasi Anggaran</a:t>
            </a:r>
            <a:endParaRPr lang="id-ID"/>
          </a:p>
        </c:rich>
      </c:tx>
    </c:title>
    <c:plotArea>
      <c:layout/>
      <c:barChart>
        <c:barDir val="col"/>
        <c:grouping val="clustered"/>
        <c:ser>
          <c:idx val="1"/>
          <c:order val="1"/>
          <c:spPr>
            <a:solidFill>
              <a:schemeClr val="accent1">
                <a:lumMod val="40000"/>
                <a:lumOff val="60000"/>
              </a:schemeClr>
            </a:solidFill>
          </c:spPr>
          <c:dPt>
            <c:idx val="0"/>
            <c:spPr>
              <a:solidFill>
                <a:schemeClr val="accent2"/>
              </a:solidFill>
            </c:spPr>
          </c:dPt>
          <c:dPt>
            <c:idx val="1"/>
            <c:spPr>
              <a:solidFill>
                <a:schemeClr val="accent2"/>
              </a:solidFill>
            </c:spPr>
          </c:dPt>
          <c:dPt>
            <c:idx val="2"/>
            <c:spPr>
              <a:solidFill>
                <a:schemeClr val="accent2"/>
              </a:solidFill>
            </c:spPr>
          </c:dPt>
          <c:dPt>
            <c:idx val="3"/>
            <c:spPr>
              <a:solidFill>
                <a:schemeClr val="accent2"/>
              </a:solidFill>
            </c:spPr>
          </c:dPt>
          <c:dPt>
            <c:idx val="4"/>
            <c:spPr>
              <a:solidFill>
                <a:schemeClr val="accent2"/>
              </a:solidFill>
            </c:spPr>
          </c:dPt>
          <c:dPt>
            <c:idx val="5"/>
            <c:spPr>
              <a:solidFill>
                <a:schemeClr val="accent2"/>
              </a:solidFill>
            </c:spPr>
          </c:dPt>
          <c:dPt>
            <c:idx val="6"/>
            <c:spPr>
              <a:solidFill>
                <a:schemeClr val="accent2"/>
              </a:solidFill>
            </c:spPr>
          </c:dPt>
          <c:dPt>
            <c:idx val="7"/>
            <c:spPr>
              <a:solidFill>
                <a:schemeClr val="accent2"/>
              </a:solidFill>
            </c:spPr>
          </c:dPt>
          <c:dPt>
            <c:idx val="8"/>
            <c:spPr>
              <a:solidFill>
                <a:schemeClr val="accent2"/>
              </a:solidFill>
            </c:spPr>
          </c:dPt>
          <c:dPt>
            <c:idx val="9"/>
            <c:spPr>
              <a:solidFill>
                <a:schemeClr val="accent2"/>
              </a:solidFill>
            </c:spPr>
          </c:dPt>
          <c:dPt>
            <c:idx val="10"/>
            <c:spPr>
              <a:solidFill>
                <a:schemeClr val="accent2"/>
              </a:solidFill>
            </c:spPr>
          </c:dPt>
          <c:dPt>
            <c:idx val="11"/>
            <c:spPr>
              <a:solidFill>
                <a:schemeClr val="accent2"/>
              </a:solidFill>
            </c:spPr>
          </c:dPt>
          <c:cat>
            <c:strRef>
              <c:f>Sheet1!$A$2:$A$24</c:f>
              <c:strCache>
                <c:ptCount val="23"/>
                <c:pt idx="0">
                  <c:v>Disperindang</c:v>
                </c:pt>
                <c:pt idx="1">
                  <c:v>Dinas Perternakan</c:v>
                </c:pt>
                <c:pt idx="2">
                  <c:v>Dinas Pertanian</c:v>
                </c:pt>
                <c:pt idx="3">
                  <c:v>Dinas Pendidikan</c:v>
                </c:pt>
                <c:pt idx="4">
                  <c:v>Kesbangpol</c:v>
                </c:pt>
                <c:pt idx="5">
                  <c:v>Dinas Kehutanan</c:v>
                </c:pt>
                <c:pt idx="6">
                  <c:v>Dinas Kesehatan</c:v>
                </c:pt>
                <c:pt idx="7">
                  <c:v>Sekretariat Daerah</c:v>
                </c:pt>
                <c:pt idx="8">
                  <c:v>Dinas Sosial</c:v>
                </c:pt>
                <c:pt idx="9">
                  <c:v>BP4K</c:v>
                </c:pt>
                <c:pt idx="10">
                  <c:v>Dinas Perkebunan</c:v>
                </c:pt>
                <c:pt idx="11">
                  <c:v>BLH</c:v>
                </c:pt>
                <c:pt idx="12">
                  <c:v>Disbudpar</c:v>
                </c:pt>
                <c:pt idx="13">
                  <c:v>Badan P3A</c:v>
                </c:pt>
                <c:pt idx="14">
                  <c:v>BP3MD</c:v>
                </c:pt>
                <c:pt idx="15">
                  <c:v>Dinas PU CK</c:v>
                </c:pt>
                <c:pt idx="16">
                  <c:v>Badan Pusda</c:v>
                </c:pt>
                <c:pt idx="17">
                  <c:v>Dinas Kelautan dan Perikanan</c:v>
                </c:pt>
                <c:pt idx="18">
                  <c:v>Dispora</c:v>
                </c:pt>
                <c:pt idx="19">
                  <c:v>Badan Arsip Derah</c:v>
                </c:pt>
                <c:pt idx="20">
                  <c:v>Badan Ketahanan Pangan</c:v>
                </c:pt>
                <c:pt idx="21">
                  <c:v>Dinas Koperasi dan UKM</c:v>
                </c:pt>
                <c:pt idx="22">
                  <c:v>Bappeda</c:v>
                </c:pt>
              </c:strCache>
            </c:strRef>
          </c:cat>
          <c:val>
            <c:numRef>
              <c:f>Sheet1!$B$2:$B$24</c:f>
              <c:numCache>
                <c:formatCode>General</c:formatCode>
                <c:ptCount val="23"/>
                <c:pt idx="0">
                  <c:v>20</c:v>
                </c:pt>
                <c:pt idx="1">
                  <c:v>23.3</c:v>
                </c:pt>
                <c:pt idx="2">
                  <c:v>27</c:v>
                </c:pt>
                <c:pt idx="3">
                  <c:v>31.9</c:v>
                </c:pt>
                <c:pt idx="4">
                  <c:v>33.300000000000004</c:v>
                </c:pt>
                <c:pt idx="5">
                  <c:v>39.5</c:v>
                </c:pt>
                <c:pt idx="6">
                  <c:v>45.4</c:v>
                </c:pt>
                <c:pt idx="7">
                  <c:v>45</c:v>
                </c:pt>
                <c:pt idx="8">
                  <c:v>48.5</c:v>
                </c:pt>
                <c:pt idx="9">
                  <c:v>48.6</c:v>
                </c:pt>
                <c:pt idx="10">
                  <c:v>53.4</c:v>
                </c:pt>
                <c:pt idx="11">
                  <c:v>54.3</c:v>
                </c:pt>
                <c:pt idx="12">
                  <c:v>57.2</c:v>
                </c:pt>
                <c:pt idx="13">
                  <c:v>59.4</c:v>
                </c:pt>
                <c:pt idx="14">
                  <c:v>68</c:v>
                </c:pt>
                <c:pt idx="15">
                  <c:v>68.8</c:v>
                </c:pt>
                <c:pt idx="16">
                  <c:v>69.400000000000006</c:v>
                </c:pt>
                <c:pt idx="17">
                  <c:v>76.2</c:v>
                </c:pt>
                <c:pt idx="18">
                  <c:v>77.3</c:v>
                </c:pt>
                <c:pt idx="19">
                  <c:v>80.5</c:v>
                </c:pt>
                <c:pt idx="20">
                  <c:v>83</c:v>
                </c:pt>
                <c:pt idx="21">
                  <c:v>93.9</c:v>
                </c:pt>
                <c:pt idx="22">
                  <c:v>63</c:v>
                </c:pt>
              </c:numCache>
            </c:numRef>
          </c:val>
        </c:ser>
        <c:ser>
          <c:idx val="0"/>
          <c:order val="0"/>
          <c:spPr>
            <a:solidFill>
              <a:schemeClr val="accent1">
                <a:lumMod val="40000"/>
                <a:lumOff val="60000"/>
              </a:schemeClr>
            </a:solidFill>
          </c:spPr>
          <c:dPt>
            <c:idx val="0"/>
            <c:spPr>
              <a:solidFill>
                <a:schemeClr val="accent2"/>
              </a:solidFill>
            </c:spPr>
          </c:dPt>
          <c:dPt>
            <c:idx val="1"/>
            <c:spPr>
              <a:solidFill>
                <a:schemeClr val="accent2"/>
              </a:solidFill>
            </c:spPr>
          </c:dPt>
          <c:dPt>
            <c:idx val="2"/>
            <c:spPr>
              <a:solidFill>
                <a:schemeClr val="accent2"/>
              </a:solidFill>
            </c:spPr>
          </c:dPt>
          <c:dPt>
            <c:idx val="3"/>
            <c:spPr>
              <a:solidFill>
                <a:schemeClr val="accent2"/>
              </a:solidFill>
            </c:spPr>
          </c:dPt>
          <c:dPt>
            <c:idx val="4"/>
            <c:spPr>
              <a:solidFill>
                <a:schemeClr val="accent2"/>
              </a:solidFill>
            </c:spPr>
          </c:dPt>
          <c:dPt>
            <c:idx val="5"/>
            <c:spPr>
              <a:solidFill>
                <a:schemeClr val="accent2"/>
              </a:solidFill>
            </c:spPr>
          </c:dPt>
          <c:dPt>
            <c:idx val="6"/>
            <c:spPr>
              <a:solidFill>
                <a:schemeClr val="accent2"/>
              </a:solidFill>
            </c:spPr>
          </c:dPt>
          <c:dPt>
            <c:idx val="7"/>
            <c:spPr>
              <a:solidFill>
                <a:schemeClr val="accent2"/>
              </a:solidFill>
            </c:spPr>
          </c:dPt>
          <c:dPt>
            <c:idx val="8"/>
            <c:spPr>
              <a:solidFill>
                <a:schemeClr val="accent2"/>
              </a:solidFill>
            </c:spPr>
          </c:dPt>
          <c:dPt>
            <c:idx val="9"/>
            <c:spPr>
              <a:solidFill>
                <a:schemeClr val="accent2"/>
              </a:solidFill>
            </c:spPr>
          </c:dPt>
          <c:dPt>
            <c:idx val="10"/>
            <c:spPr>
              <a:solidFill>
                <a:schemeClr val="accent2"/>
              </a:solidFill>
            </c:spPr>
          </c:dPt>
          <c:dPt>
            <c:idx val="11"/>
            <c:spPr>
              <a:solidFill>
                <a:schemeClr val="accent2"/>
              </a:solidFill>
            </c:spPr>
          </c:dPt>
          <c:cat>
            <c:strRef>
              <c:f>Sheet1!$A$2:$A$24</c:f>
              <c:strCache>
                <c:ptCount val="23"/>
                <c:pt idx="0">
                  <c:v>Disperindang</c:v>
                </c:pt>
                <c:pt idx="1">
                  <c:v>Dinas Perternakan</c:v>
                </c:pt>
                <c:pt idx="2">
                  <c:v>Dinas Pertanian</c:v>
                </c:pt>
                <c:pt idx="3">
                  <c:v>Dinas Pendidikan</c:v>
                </c:pt>
                <c:pt idx="4">
                  <c:v>Kesbangpol</c:v>
                </c:pt>
                <c:pt idx="5">
                  <c:v>Dinas Kehutanan</c:v>
                </c:pt>
                <c:pt idx="6">
                  <c:v>Dinas Kesehatan</c:v>
                </c:pt>
                <c:pt idx="7">
                  <c:v>Sekretariat Daerah</c:v>
                </c:pt>
                <c:pt idx="8">
                  <c:v>Dinas Sosial</c:v>
                </c:pt>
                <c:pt idx="9">
                  <c:v>BP4K</c:v>
                </c:pt>
                <c:pt idx="10">
                  <c:v>Dinas Perkebunan</c:v>
                </c:pt>
                <c:pt idx="11">
                  <c:v>BLH</c:v>
                </c:pt>
                <c:pt idx="12">
                  <c:v>Disbudpar</c:v>
                </c:pt>
                <c:pt idx="13">
                  <c:v>Badan P3A</c:v>
                </c:pt>
                <c:pt idx="14">
                  <c:v>BP3MD</c:v>
                </c:pt>
                <c:pt idx="15">
                  <c:v>Dinas PU CK</c:v>
                </c:pt>
                <c:pt idx="16">
                  <c:v>Badan Pusda</c:v>
                </c:pt>
                <c:pt idx="17">
                  <c:v>Dinas Kelautan dan Perikanan</c:v>
                </c:pt>
                <c:pt idx="18">
                  <c:v>Dispora</c:v>
                </c:pt>
                <c:pt idx="19">
                  <c:v>Badan Arsip Derah</c:v>
                </c:pt>
                <c:pt idx="20">
                  <c:v>Badan Ketahanan Pangan</c:v>
                </c:pt>
                <c:pt idx="21">
                  <c:v>Dinas Koperasi dan UKM</c:v>
                </c:pt>
                <c:pt idx="22">
                  <c:v>Bappeda</c:v>
                </c:pt>
              </c:strCache>
            </c:strRef>
          </c:cat>
          <c:val>
            <c:numRef>
              <c:f>Sheet1!$B$2:$B$24</c:f>
              <c:numCache>
                <c:formatCode>General</c:formatCode>
                <c:ptCount val="23"/>
                <c:pt idx="0">
                  <c:v>20</c:v>
                </c:pt>
                <c:pt idx="1">
                  <c:v>23.3</c:v>
                </c:pt>
                <c:pt idx="2">
                  <c:v>27</c:v>
                </c:pt>
                <c:pt idx="3">
                  <c:v>31.9</c:v>
                </c:pt>
                <c:pt idx="4">
                  <c:v>33.300000000000004</c:v>
                </c:pt>
                <c:pt idx="5">
                  <c:v>39.5</c:v>
                </c:pt>
                <c:pt idx="6">
                  <c:v>45.4</c:v>
                </c:pt>
                <c:pt idx="7">
                  <c:v>45</c:v>
                </c:pt>
                <c:pt idx="8">
                  <c:v>48.5</c:v>
                </c:pt>
                <c:pt idx="9">
                  <c:v>48.6</c:v>
                </c:pt>
                <c:pt idx="10">
                  <c:v>53.4</c:v>
                </c:pt>
                <c:pt idx="11">
                  <c:v>54.3</c:v>
                </c:pt>
                <c:pt idx="12">
                  <c:v>57.2</c:v>
                </c:pt>
                <c:pt idx="13">
                  <c:v>59.4</c:v>
                </c:pt>
                <c:pt idx="14">
                  <c:v>68</c:v>
                </c:pt>
                <c:pt idx="15">
                  <c:v>68.8</c:v>
                </c:pt>
                <c:pt idx="16">
                  <c:v>69.400000000000006</c:v>
                </c:pt>
                <c:pt idx="17">
                  <c:v>76.2</c:v>
                </c:pt>
                <c:pt idx="18">
                  <c:v>77.3</c:v>
                </c:pt>
                <c:pt idx="19">
                  <c:v>80.5</c:v>
                </c:pt>
                <c:pt idx="20">
                  <c:v>83</c:v>
                </c:pt>
                <c:pt idx="21">
                  <c:v>93.9</c:v>
                </c:pt>
                <c:pt idx="22">
                  <c:v>63</c:v>
                </c:pt>
              </c:numCache>
            </c:numRef>
          </c:val>
        </c:ser>
        <c:axId val="71166208"/>
        <c:axId val="71733248"/>
      </c:barChart>
      <c:catAx>
        <c:axId val="71166208"/>
        <c:scaling>
          <c:orientation val="minMax"/>
        </c:scaling>
        <c:axPos val="b"/>
        <c:majorTickMark val="none"/>
        <c:tickLblPos val="nextTo"/>
        <c:txPr>
          <a:bodyPr/>
          <a:lstStyle/>
          <a:p>
            <a:pPr>
              <a:defRPr lang="id-ID"/>
            </a:pPr>
            <a:endParaRPr lang="en-US"/>
          </a:p>
        </c:txPr>
        <c:crossAx val="71733248"/>
        <c:crosses val="autoZero"/>
        <c:auto val="1"/>
        <c:lblAlgn val="ctr"/>
        <c:lblOffset val="100"/>
      </c:catAx>
      <c:valAx>
        <c:axId val="71733248"/>
        <c:scaling>
          <c:orientation val="minMax"/>
        </c:scaling>
        <c:axPos val="l"/>
        <c:majorGridlines/>
        <c:numFmt formatCode="General" sourceLinked="1"/>
        <c:majorTickMark val="none"/>
        <c:tickLblPos val="nextTo"/>
        <c:txPr>
          <a:bodyPr/>
          <a:lstStyle/>
          <a:p>
            <a:pPr>
              <a:defRPr lang="id-ID"/>
            </a:pPr>
            <a:endParaRPr lang="en-US"/>
          </a:p>
        </c:txPr>
        <c:crossAx val="7116620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BA8C-6C1C-46D2-BC58-F758EE30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11</cp:revision>
  <cp:lastPrinted>2018-08-06T01:30:00Z</cp:lastPrinted>
  <dcterms:created xsi:type="dcterms:W3CDTF">2018-08-04T03:34:00Z</dcterms:created>
  <dcterms:modified xsi:type="dcterms:W3CDTF">2018-08-07T14:42:00Z</dcterms:modified>
</cp:coreProperties>
</file>