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A81BF" w14:textId="77777777" w:rsidR="00962EB0" w:rsidRDefault="007E4D93" w:rsidP="00962EB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0611101"/>
      <w:r>
        <w:rPr>
          <w:rFonts w:ascii="Times New Roman" w:hAnsi="Times New Roman" w:cs="Times New Roman"/>
          <w:b/>
          <w:sz w:val="28"/>
          <w:szCs w:val="28"/>
        </w:rPr>
        <w:t>D</w:t>
      </w:r>
      <w:r w:rsidR="00962EB0" w:rsidRPr="007B6E85">
        <w:rPr>
          <w:rFonts w:ascii="Times New Roman" w:hAnsi="Times New Roman" w:cs="Times New Roman"/>
          <w:b/>
          <w:sz w:val="28"/>
          <w:szCs w:val="28"/>
        </w:rPr>
        <w:t>aftar Pustaka</w:t>
      </w:r>
    </w:p>
    <w:p w14:paraId="7BD46F57" w14:textId="5E18D422" w:rsidR="000E4288" w:rsidRDefault="000E4288" w:rsidP="00BC05FC">
      <w:pPr>
        <w:spacing w:line="240" w:lineRule="auto"/>
        <w:ind w:left="720" w:hanging="720"/>
        <w:jc w:val="both"/>
      </w:pPr>
    </w:p>
    <w:bookmarkEnd w:id="0"/>
    <w:p w14:paraId="13C327D6" w14:textId="77777777" w:rsidR="00577FF1" w:rsidRDefault="00577FF1" w:rsidP="00A816F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Badan Pemeriksa Keuangan Republik Indonesia Perwakilan Sumatera Selatan. 2018. </w:t>
      </w:r>
      <w:r w:rsidRPr="0036002C">
        <w:rPr>
          <w:rFonts w:ascii="Times New Roman" w:hAnsi="Times New Roman" w:cs="Times New Roman"/>
          <w:i/>
          <w:sz w:val="24"/>
          <w:szCs w:val="24"/>
        </w:rPr>
        <w:t>Hasil Pemeriksaan Laporan Keuangan Pemerintah Daerah Tahun 201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36002C">
        <w:rPr>
          <w:rFonts w:ascii="Times New Roman" w:hAnsi="Times New Roman" w:cs="Times New Roman"/>
          <w:i/>
          <w:sz w:val="24"/>
          <w:szCs w:val="24"/>
        </w:rPr>
        <w:t>-201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36002C">
        <w:rPr>
          <w:rFonts w:ascii="Times New Roman" w:hAnsi="Times New Roman" w:cs="Times New Roman"/>
          <w:i/>
          <w:sz w:val="24"/>
          <w:szCs w:val="24"/>
        </w:rPr>
        <w:t>.</w:t>
      </w:r>
    </w:p>
    <w:p w14:paraId="40DBFF47" w14:textId="77777777" w:rsidR="00577FF1" w:rsidRDefault="00577FF1" w:rsidP="006F6015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62EB0">
        <w:rPr>
          <w:rFonts w:ascii="Times New Roman" w:hAnsi="Times New Roman" w:cs="Times New Roman"/>
          <w:sz w:val="24"/>
          <w:szCs w:val="24"/>
        </w:rPr>
        <w:t>Darmawan, Aggi</w:t>
      </w:r>
      <w:r>
        <w:rPr>
          <w:rFonts w:ascii="Times New Roman" w:hAnsi="Times New Roman" w:cs="Times New Roman"/>
          <w:sz w:val="24"/>
          <w:szCs w:val="24"/>
        </w:rPr>
        <w:t>, 2015.</w:t>
      </w:r>
      <w:r w:rsidRPr="00962EB0">
        <w:t xml:space="preserve"> </w:t>
      </w:r>
      <w:r>
        <w:t xml:space="preserve"> </w:t>
      </w:r>
      <w:r w:rsidRPr="000E4288">
        <w:rPr>
          <w:rFonts w:ascii="Times New Roman" w:hAnsi="Times New Roman" w:cs="Times New Roman"/>
          <w:sz w:val="24"/>
          <w:szCs w:val="24"/>
        </w:rPr>
        <w:t>Pengaruh Dana Perimbangan, Pendapatan Asli Daerah (PAD) Dan Sisa Lebih Perhitungan Anggaran (SILPA) Terhadap Belanja Modal</w:t>
      </w:r>
      <w:r w:rsidRPr="00A816F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816FC">
        <w:rPr>
          <w:rFonts w:ascii="Times New Roman" w:hAnsi="Times New Roman" w:cs="Times New Roman"/>
          <w:sz w:val="24"/>
          <w:szCs w:val="24"/>
        </w:rPr>
        <w:t>STIE Ekuitas</w:t>
      </w:r>
    </w:p>
    <w:p w14:paraId="52DD2C05" w14:textId="77777777" w:rsidR="00577FF1" w:rsidRPr="007E4D93" w:rsidRDefault="00577FF1" w:rsidP="007E4D93">
      <w:pPr>
        <w:spacing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5FC">
        <w:rPr>
          <w:rFonts w:ascii="Times New Roman" w:hAnsi="Times New Roman" w:cs="Times New Roman"/>
          <w:sz w:val="24"/>
          <w:szCs w:val="24"/>
        </w:rPr>
        <w:t>Desak Gede Yudi Atika Sari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5FC">
        <w:rPr>
          <w:rFonts w:ascii="Times New Roman" w:hAnsi="Times New Roman" w:cs="Times New Roman"/>
          <w:sz w:val="24"/>
          <w:szCs w:val="24"/>
        </w:rPr>
        <w:t xml:space="preserve"> Putu Kepramareni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BC05FC">
        <w:rPr>
          <w:rFonts w:ascii="Times New Roman" w:hAnsi="Times New Roman" w:cs="Times New Roman"/>
          <w:sz w:val="24"/>
          <w:szCs w:val="24"/>
        </w:rPr>
        <w:t>Ni Luh Gde Novitasari</w:t>
      </w:r>
      <w:r>
        <w:rPr>
          <w:rFonts w:ascii="Times New Roman" w:hAnsi="Times New Roman" w:cs="Times New Roman"/>
          <w:sz w:val="24"/>
          <w:szCs w:val="24"/>
        </w:rPr>
        <w:t xml:space="preserve">, 2017. </w:t>
      </w:r>
      <w:r w:rsidRPr="0008283A">
        <w:rPr>
          <w:rFonts w:ascii="Times New Roman" w:hAnsi="Times New Roman" w:cs="Times New Roman"/>
          <w:sz w:val="24"/>
          <w:szCs w:val="24"/>
        </w:rPr>
        <w:t>Pengaruh Pertumbuhan Ekonomi, Pendapatan Asli Daerah, Dana Perimbangan Dan Sisa Lebih Pembiayaan Anggaran Terhadap Alokasi Belanja Modal Kabupaten/Kota Se-Bali.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283A">
        <w:rPr>
          <w:rFonts w:ascii="Times New Roman" w:hAnsi="Times New Roman" w:cs="Times New Roman"/>
          <w:i/>
          <w:sz w:val="24"/>
          <w:szCs w:val="24"/>
        </w:rPr>
        <w:t>Jurnal KRISNA: Kumpulan Riset Akuntansi; Vol. 9, Halaman: 15 – 29.</w:t>
      </w:r>
    </w:p>
    <w:p w14:paraId="09EEA4DF" w14:textId="77777777" w:rsidR="00577FF1" w:rsidRDefault="00577FF1" w:rsidP="001A40B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40B4">
        <w:rPr>
          <w:rFonts w:ascii="Times New Roman" w:hAnsi="Times New Roman" w:cs="Times New Roman"/>
          <w:sz w:val="24"/>
          <w:szCs w:val="24"/>
        </w:rPr>
        <w:t>Farel</w:t>
      </w:r>
      <w:r>
        <w:rPr>
          <w:rFonts w:ascii="Times New Roman" w:hAnsi="Times New Roman" w:cs="Times New Roman"/>
          <w:sz w:val="24"/>
          <w:szCs w:val="24"/>
        </w:rPr>
        <w:t xml:space="preserve">, Rully 2015. </w:t>
      </w:r>
      <w:r w:rsidRPr="001A40B4">
        <w:rPr>
          <w:rFonts w:ascii="Times New Roman" w:hAnsi="Times New Roman" w:cs="Times New Roman"/>
          <w:i/>
          <w:sz w:val="24"/>
          <w:szCs w:val="24"/>
        </w:rPr>
        <w:t>Faktor-Faktor Yang Mempengaruhi Belanja Modal Di Kabupaten Bogor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Artikel Ilmiah.</w:t>
      </w:r>
    </w:p>
    <w:p w14:paraId="2337A574" w14:textId="77777777" w:rsidR="00577FF1" w:rsidRDefault="00577FF1" w:rsidP="00BC05F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Ghozali,  Imam.  2012.  </w:t>
      </w:r>
      <w:r w:rsidRPr="00C2410A">
        <w:rPr>
          <w:rFonts w:ascii="Times New Roman" w:hAnsi="Times New Roman" w:cs="Times New Roman"/>
          <w:i/>
          <w:sz w:val="24"/>
          <w:szCs w:val="24"/>
        </w:rPr>
        <w:t>Aplikasi  Analisis  Multivariate  Dengan  Program  SPSS</w:t>
      </w:r>
      <w:r>
        <w:rPr>
          <w:rFonts w:ascii="Times New Roman" w:hAnsi="Times New Roman" w:cs="Times New Roman"/>
          <w:sz w:val="24"/>
          <w:szCs w:val="24"/>
        </w:rPr>
        <w:t xml:space="preserve">. Edisi Ke-7. </w:t>
      </w:r>
      <w:r w:rsidRPr="006749E5">
        <w:rPr>
          <w:rFonts w:ascii="Times New Roman" w:hAnsi="Times New Roman" w:cs="Times New Roman"/>
          <w:sz w:val="24"/>
          <w:szCs w:val="24"/>
        </w:rPr>
        <w:t>Semarang: Badan Penerbit Universitas Diponegoro.</w:t>
      </w:r>
    </w:p>
    <w:p w14:paraId="28D30D96" w14:textId="77777777" w:rsidR="00577FF1" w:rsidRPr="0008283A" w:rsidRDefault="00577FF1" w:rsidP="00A816FC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816FC">
        <w:rPr>
          <w:rFonts w:ascii="Times New Roman" w:hAnsi="Times New Roman" w:cs="Times New Roman"/>
          <w:sz w:val="24"/>
          <w:szCs w:val="24"/>
        </w:rPr>
        <w:t>Hermawan</w:t>
      </w:r>
      <w:r w:rsidRPr="00A816F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16FC">
        <w:rPr>
          <w:rFonts w:ascii="Times New Roman" w:hAnsi="Times New Roman" w:cs="Times New Roman"/>
          <w:sz w:val="24"/>
          <w:szCs w:val="24"/>
        </w:rPr>
        <w:t>Rudi</w:t>
      </w:r>
      <w:r>
        <w:rPr>
          <w:rFonts w:ascii="Times New Roman" w:hAnsi="Times New Roman" w:cs="Times New Roman"/>
          <w:sz w:val="24"/>
          <w:szCs w:val="24"/>
        </w:rPr>
        <w:t xml:space="preserve">. 2017. </w:t>
      </w:r>
      <w:r w:rsidRPr="0008283A">
        <w:rPr>
          <w:rFonts w:ascii="Times New Roman" w:hAnsi="Times New Roman" w:cs="Times New Roman"/>
          <w:sz w:val="24"/>
          <w:szCs w:val="24"/>
        </w:rPr>
        <w:t>Pengaruh Pendapatan Asli Daerah (PAD), Dana Perimbangan, Dan Sisa Lebih Pembiayaan Anggaran (SiLPA) Terhadap Belanja Modal. (Studi pada Pemerintah Kabupaten/Kota di Provinsi Jawa Tengah Periode 2013- 2015).</w:t>
      </w:r>
    </w:p>
    <w:p w14:paraId="43BD010B" w14:textId="77777777" w:rsidR="00577FF1" w:rsidRDefault="00577FF1" w:rsidP="005B09D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Kadafi, </w:t>
      </w:r>
      <w:r w:rsidRPr="00C018C0">
        <w:rPr>
          <w:rFonts w:ascii="Times New Roman" w:hAnsi="Times New Roman" w:cs="Times New Roman"/>
          <w:sz w:val="24"/>
          <w:szCs w:val="24"/>
        </w:rPr>
        <w:t>Muhammad Edwin</w:t>
      </w:r>
      <w:r>
        <w:rPr>
          <w:rFonts w:ascii="Times New Roman" w:hAnsi="Times New Roman" w:cs="Times New Roman"/>
          <w:sz w:val="24"/>
          <w:szCs w:val="24"/>
        </w:rPr>
        <w:t xml:space="preserve">, 2017. </w:t>
      </w:r>
      <w:r w:rsidRPr="0008283A">
        <w:rPr>
          <w:rFonts w:ascii="Times New Roman" w:hAnsi="Times New Roman" w:cs="Times New Roman"/>
          <w:sz w:val="24"/>
          <w:szCs w:val="24"/>
        </w:rPr>
        <w:t>Pengaruh Pendapatan Asli Daerah Dan Dana Perimbangan Terhadap Belanja Modal.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8C0">
        <w:rPr>
          <w:rFonts w:ascii="Times New Roman" w:hAnsi="Times New Roman" w:cs="Times New Roman"/>
          <w:sz w:val="24"/>
          <w:szCs w:val="24"/>
        </w:rPr>
        <w:t>(Studi Kasus pada Pemerintah Kota Bandung)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018C0">
        <w:rPr>
          <w:rFonts w:ascii="Times New Roman" w:hAnsi="Times New Roman" w:cs="Times New Roman"/>
          <w:i/>
          <w:sz w:val="24"/>
          <w:szCs w:val="24"/>
        </w:rPr>
        <w:t>Skripsi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018C0">
        <w:rPr>
          <w:rFonts w:ascii="Times New Roman" w:hAnsi="Times New Roman" w:cs="Times New Roman"/>
          <w:sz w:val="24"/>
          <w:szCs w:val="24"/>
        </w:rPr>
        <w:t>Universitas Widyatama</w:t>
      </w:r>
    </w:p>
    <w:p w14:paraId="44DDDCC3" w14:textId="77777777" w:rsidR="00577FF1" w:rsidRDefault="00577FF1" w:rsidP="008F26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F26AF">
        <w:rPr>
          <w:rFonts w:ascii="Times New Roman" w:hAnsi="Times New Roman" w:cs="Times New Roman"/>
          <w:bCs/>
        </w:rPr>
        <w:t>Mahargono, Imaniar Putri</w:t>
      </w:r>
      <w:r>
        <w:rPr>
          <w:rFonts w:ascii="Times New Roman" w:hAnsi="Times New Roman" w:cs="Times New Roman"/>
          <w:bCs/>
        </w:rPr>
        <w:t>,</w:t>
      </w:r>
      <w:r w:rsidRPr="008F26AF">
        <w:rPr>
          <w:rFonts w:ascii="Times New Roman" w:hAnsi="Times New Roman" w:cs="Times New Roman"/>
          <w:bCs/>
        </w:rPr>
        <w:t xml:space="preserve"> 2017</w:t>
      </w:r>
      <w:r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Pengaruh Pendapatan Asli Daerah (PAD), Dana Alokasi Umum (DAU), Dana Alokasi Khusus  (DAK) Dan Sisa Lebih Perhitungan Anggaran (SiLPA)</w:t>
      </w:r>
      <w:r w:rsidRPr="0008283A">
        <w:rPr>
          <w:rFonts w:ascii="Times New Roman" w:hAnsi="Times New Roman" w:cs="Times New Roman"/>
          <w:sz w:val="24"/>
          <w:szCs w:val="24"/>
        </w:rPr>
        <w:t xml:space="preserve"> Terhadap Alokasi Belanja Modal Di Jawa Timur.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283A">
        <w:rPr>
          <w:rFonts w:ascii="Times New Roman" w:hAnsi="Times New Roman" w:cs="Times New Roman"/>
          <w:i/>
          <w:sz w:val="24"/>
          <w:szCs w:val="24"/>
        </w:rPr>
        <w:t>Artikel ilmiah</w:t>
      </w:r>
    </w:p>
    <w:p w14:paraId="0E6AEF8C" w14:textId="77777777" w:rsidR="00577FF1" w:rsidRPr="006026E3" w:rsidRDefault="00577FF1" w:rsidP="001A4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026E3">
        <w:rPr>
          <w:rFonts w:ascii="Times New Roman" w:hAnsi="Times New Roman" w:cs="Times New Roman"/>
          <w:sz w:val="24"/>
          <w:szCs w:val="24"/>
        </w:rPr>
        <w:t xml:space="preserve">Nora, Rizky An Nizya, dkk. 2015. “Pengaruh Pendapatan Asli Daerah, Dana Perimbangan, SiLPA dan  Luas Wilayah Terhadap Belanja Modal pada Pemerintah Kabupaten/Kota Provinsi Jawa Timur”. </w:t>
      </w:r>
      <w:r w:rsidRPr="006026E3">
        <w:rPr>
          <w:rFonts w:ascii="Times New Roman" w:hAnsi="Times New Roman" w:cs="Times New Roman"/>
          <w:i/>
          <w:sz w:val="24"/>
          <w:szCs w:val="24"/>
        </w:rPr>
        <w:t>Artikel Ilmiah Mahasiswa.</w:t>
      </w:r>
    </w:p>
    <w:p w14:paraId="37748502" w14:textId="77777777" w:rsidR="00577FF1" w:rsidRDefault="00577FF1" w:rsidP="00BC05F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6B79">
        <w:rPr>
          <w:rFonts w:ascii="Times New Roman" w:hAnsi="Times New Roman" w:cs="Times New Roman"/>
          <w:sz w:val="24"/>
          <w:szCs w:val="24"/>
        </w:rPr>
        <w:t>Nurmala Sari, Gustian Djuanda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E46B79">
        <w:rPr>
          <w:rFonts w:ascii="Times New Roman" w:hAnsi="Times New Roman" w:cs="Times New Roman"/>
          <w:sz w:val="24"/>
          <w:szCs w:val="24"/>
        </w:rPr>
        <w:t xml:space="preserve"> Sarwani</w:t>
      </w:r>
      <w:r>
        <w:rPr>
          <w:rFonts w:ascii="Times New Roman" w:hAnsi="Times New Roman" w:cs="Times New Roman"/>
          <w:sz w:val="24"/>
          <w:szCs w:val="24"/>
        </w:rPr>
        <w:t xml:space="preserve">, 2017. </w:t>
      </w:r>
      <w:r w:rsidRPr="0008283A">
        <w:rPr>
          <w:rFonts w:ascii="Times New Roman" w:hAnsi="Times New Roman" w:cs="Times New Roman"/>
          <w:sz w:val="24"/>
          <w:szCs w:val="24"/>
        </w:rPr>
        <w:t>Pengaruh Dana Perimbangan, Dana Sisa L</w:t>
      </w:r>
      <w:r>
        <w:rPr>
          <w:rFonts w:ascii="Times New Roman" w:hAnsi="Times New Roman" w:cs="Times New Roman"/>
          <w:sz w:val="24"/>
          <w:szCs w:val="24"/>
        </w:rPr>
        <w:t>ebih Perhitungan Anggaran (SiLPA</w:t>
      </w:r>
      <w:r w:rsidRPr="000828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Dan Pendapatan Asli Daerah (PAD</w:t>
      </w:r>
      <w:r w:rsidRPr="0008283A">
        <w:rPr>
          <w:rFonts w:ascii="Times New Roman" w:hAnsi="Times New Roman" w:cs="Times New Roman"/>
          <w:sz w:val="24"/>
          <w:szCs w:val="24"/>
        </w:rPr>
        <w:t>) Terhadap Belanja Modal Dan Dampaknya Pada Pertumbuhan Ekonomi Di Wilayah Bodetabek Periode 2006 s/d 2015.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 pamulang.</w:t>
      </w:r>
    </w:p>
    <w:p w14:paraId="0C1F6B95" w14:textId="77777777" w:rsidR="00577FF1" w:rsidRDefault="00577FF1" w:rsidP="00BC05F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A44FB">
        <w:rPr>
          <w:rFonts w:ascii="Times New Roman" w:hAnsi="Times New Roman" w:cs="Times New Roman"/>
          <w:sz w:val="24"/>
          <w:szCs w:val="24"/>
        </w:rPr>
        <w:lastRenderedPageBreak/>
        <w:t xml:space="preserve">Priyatno, Duwi. 2012. </w:t>
      </w:r>
      <w:r w:rsidRPr="007A44FB">
        <w:rPr>
          <w:rFonts w:ascii="Times New Roman" w:hAnsi="Times New Roman" w:cs="Times New Roman"/>
          <w:i/>
          <w:sz w:val="24"/>
          <w:szCs w:val="24"/>
        </w:rPr>
        <w:t>Cara Kilat Belajar Analisis Data dengan SPSS 20</w:t>
      </w:r>
      <w:r w:rsidRPr="007A44FB">
        <w:rPr>
          <w:rFonts w:ascii="Times New Roman" w:hAnsi="Times New Roman" w:cs="Times New Roman"/>
          <w:sz w:val="24"/>
          <w:szCs w:val="24"/>
        </w:rPr>
        <w:t>. Yogyakarta: Andi Offset.</w:t>
      </w:r>
    </w:p>
    <w:p w14:paraId="2C6EDC0B" w14:textId="77777777" w:rsidR="00577FF1" w:rsidRPr="0008283A" w:rsidRDefault="00577FF1" w:rsidP="00E46B79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6B79">
        <w:rPr>
          <w:rFonts w:ascii="Times New Roman" w:hAnsi="Times New Roman" w:cs="Times New Roman"/>
          <w:sz w:val="24"/>
          <w:szCs w:val="24"/>
        </w:rPr>
        <w:t>Putri, Della Prima,</w:t>
      </w:r>
      <w:r>
        <w:rPr>
          <w:rFonts w:ascii="Times New Roman" w:hAnsi="Times New Roman" w:cs="Times New Roman"/>
          <w:sz w:val="24"/>
          <w:szCs w:val="24"/>
        </w:rPr>
        <w:t xml:space="preserve"> 2016.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283A">
        <w:rPr>
          <w:rFonts w:ascii="Times New Roman" w:hAnsi="Times New Roman" w:cs="Times New Roman"/>
          <w:sz w:val="24"/>
          <w:szCs w:val="24"/>
        </w:rPr>
        <w:t xml:space="preserve">Pengaruh Pertumbuhan Ekonomi, Pendapatan Asli Daerah </w:t>
      </w:r>
      <w:r>
        <w:rPr>
          <w:rFonts w:ascii="Times New Roman" w:hAnsi="Times New Roman" w:cs="Times New Roman"/>
          <w:sz w:val="24"/>
          <w:szCs w:val="24"/>
        </w:rPr>
        <w:t>(PAD</w:t>
      </w:r>
      <w:r w:rsidRPr="0008283A">
        <w:rPr>
          <w:rFonts w:ascii="Times New Roman" w:hAnsi="Times New Roman" w:cs="Times New Roman"/>
          <w:sz w:val="24"/>
          <w:szCs w:val="24"/>
        </w:rPr>
        <w:t>), Dan Dana Perimbangan Terhadap Anggaran Belanja Modal Pada Pemerintah Kabupaten/Kota Di Provinsi Sumatera Selatan. Skripsi. Politeknik Negeri Sriwijaya.</w:t>
      </w:r>
    </w:p>
    <w:p w14:paraId="33FC4C37" w14:textId="77777777" w:rsidR="00577FF1" w:rsidRDefault="00577FF1" w:rsidP="001A40B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06474D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epublik </w:t>
      </w:r>
      <w:r w:rsidRPr="0006474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ndonesia. 2003. Undang-Undang</w:t>
      </w:r>
      <w:r w:rsidRPr="0006474D">
        <w:rPr>
          <w:rFonts w:ascii="Times New Roman" w:hAnsi="Times New Roman" w:cs="Times New Roman"/>
          <w:sz w:val="24"/>
        </w:rPr>
        <w:t xml:space="preserve"> Nomor 17 Tahun 2003 tentang Keuangan Negara</w:t>
      </w:r>
      <w:r>
        <w:rPr>
          <w:rFonts w:ascii="Times New Roman" w:hAnsi="Times New Roman" w:cs="Times New Roman"/>
          <w:sz w:val="24"/>
        </w:rPr>
        <w:t>.</w:t>
      </w:r>
      <w:bookmarkStart w:id="1" w:name="_GoBack"/>
      <w:bookmarkEnd w:id="1"/>
    </w:p>
    <w:p w14:paraId="7104B8FD" w14:textId="77777777" w:rsidR="00577FF1" w:rsidRDefault="00577FF1" w:rsidP="00C018C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6474D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epublik </w:t>
      </w:r>
      <w:r w:rsidRPr="0006474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ndonesia. 2004. Undang-Undang</w:t>
      </w:r>
      <w:r>
        <w:rPr>
          <w:rFonts w:ascii="Times New Roman" w:hAnsi="Times New Roman" w:cs="Times New Roman"/>
          <w:sz w:val="24"/>
          <w:szCs w:val="24"/>
        </w:rPr>
        <w:t xml:space="preserve"> Nomor </w:t>
      </w:r>
      <w:r w:rsidRPr="005E2CFB">
        <w:rPr>
          <w:rFonts w:ascii="Times New Roman" w:hAnsi="Times New Roman" w:cs="Times New Roman"/>
          <w:sz w:val="24"/>
          <w:szCs w:val="24"/>
        </w:rPr>
        <w:t>32 tahun 2004 tentang Pemerintahan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CFB">
        <w:rPr>
          <w:rFonts w:ascii="Times New Roman" w:hAnsi="Times New Roman" w:cs="Times New Roman"/>
          <w:sz w:val="24"/>
          <w:szCs w:val="24"/>
        </w:rPr>
        <w:t>Daerah</w:t>
      </w:r>
    </w:p>
    <w:p w14:paraId="5D39A809" w14:textId="77777777" w:rsidR="00577FF1" w:rsidRDefault="00577FF1" w:rsidP="004253D0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474D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epublik </w:t>
      </w:r>
      <w:r w:rsidRPr="0006474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ndonesia. 2004. Undang-Undang</w:t>
      </w:r>
      <w:r w:rsidRPr="001E20DC">
        <w:rPr>
          <w:rFonts w:ascii="Times New Roman" w:hAnsi="Times New Roman" w:cs="Times New Roman"/>
          <w:sz w:val="24"/>
          <w:szCs w:val="24"/>
        </w:rPr>
        <w:t xml:space="preserve"> Nomor 33 Tahun 2004 tentang Perimbangan Keuangan antara Pemerintah Pusat dan Daerah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F0514B" w14:textId="77777777" w:rsidR="00577FF1" w:rsidRDefault="00577FF1" w:rsidP="008F26A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Indonesia. 2006. </w:t>
      </w:r>
      <w:r w:rsidRPr="001E20DC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raturan Mentri Dalam Negeri</w:t>
      </w:r>
      <w:r>
        <w:rPr>
          <w:rFonts w:ascii="Times New Roman" w:hAnsi="Times New Roman" w:cs="Times New Roman"/>
          <w:sz w:val="24"/>
          <w:szCs w:val="24"/>
        </w:rPr>
        <w:t xml:space="preserve"> Nomor 13 Tahun 2006</w:t>
      </w:r>
      <w:r w:rsidRPr="001E20DC">
        <w:rPr>
          <w:rFonts w:ascii="Times New Roman" w:hAnsi="Times New Roman" w:cs="Times New Roman"/>
          <w:sz w:val="24"/>
          <w:szCs w:val="24"/>
        </w:rPr>
        <w:t xml:space="preserve"> tentang Pedoman Pengelolaan Keuangan Daerah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6B4C91" w14:textId="77777777" w:rsidR="00577FF1" w:rsidRDefault="00577FF1" w:rsidP="001A40B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 Indonesia. 2009 </w:t>
      </w:r>
      <w:r w:rsidRPr="006C0226">
        <w:rPr>
          <w:rFonts w:ascii="Times New Roman" w:hAnsi="Times New Roman" w:cs="Times New Roman"/>
          <w:sz w:val="24"/>
        </w:rPr>
        <w:t>Peraturan Pemerintah</w:t>
      </w:r>
      <w:r>
        <w:rPr>
          <w:rFonts w:ascii="Times New Roman" w:hAnsi="Times New Roman" w:cs="Times New Roman"/>
          <w:sz w:val="24"/>
          <w:szCs w:val="24"/>
        </w:rPr>
        <w:t xml:space="preserve"> nomor </w:t>
      </w:r>
      <w:r w:rsidRPr="00043EB7">
        <w:rPr>
          <w:rFonts w:ascii="Times New Roman" w:hAnsi="Times New Roman" w:cs="Times New Roman"/>
          <w:sz w:val="24"/>
          <w:szCs w:val="24"/>
        </w:rPr>
        <w:t>53 Tahun 2009 tentang Dana Alokasi Umum Daerah Provinsi, Kabupaten, dan Kota</w:t>
      </w:r>
      <w:r>
        <w:rPr>
          <w:rFonts w:ascii="Times New Roman" w:hAnsi="Times New Roman" w:cs="Times New Roman"/>
          <w:sz w:val="24"/>
          <w:szCs w:val="24"/>
        </w:rPr>
        <w:t xml:space="preserve"> tahun 2010</w:t>
      </w:r>
    </w:p>
    <w:p w14:paraId="1465117F" w14:textId="77777777" w:rsidR="00577FF1" w:rsidRDefault="00577FF1" w:rsidP="001A40B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6474D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epublik </w:t>
      </w:r>
      <w:r w:rsidRPr="0006474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ndonesia. 2009. Undang-Undang</w:t>
      </w:r>
      <w:r>
        <w:rPr>
          <w:rFonts w:ascii="Times New Roman" w:hAnsi="Times New Roman" w:cs="Times New Roman"/>
          <w:sz w:val="24"/>
          <w:szCs w:val="24"/>
        </w:rPr>
        <w:t xml:space="preserve"> Nomor 28 Tahun 2009 tentang Pajak Daerah dan Retribusi Daerah.</w:t>
      </w:r>
    </w:p>
    <w:p w14:paraId="045CFF2B" w14:textId="77777777" w:rsidR="00577FF1" w:rsidRPr="006C0226" w:rsidRDefault="00577FF1" w:rsidP="00E46B79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C0226">
        <w:rPr>
          <w:rFonts w:ascii="Times New Roman" w:hAnsi="Times New Roman" w:cs="Times New Roman"/>
          <w:sz w:val="24"/>
          <w:szCs w:val="24"/>
        </w:rPr>
        <w:t>epublik Indonesia</w:t>
      </w:r>
      <w:r>
        <w:rPr>
          <w:rFonts w:ascii="Times New Roman" w:hAnsi="Times New Roman" w:cs="Times New Roman"/>
          <w:sz w:val="24"/>
          <w:szCs w:val="24"/>
        </w:rPr>
        <w:t>. 2010.</w:t>
      </w:r>
      <w:r w:rsidRPr="006C0226">
        <w:rPr>
          <w:rFonts w:ascii="Times New Roman" w:hAnsi="Times New Roman" w:cs="Times New Roman"/>
          <w:sz w:val="24"/>
          <w:szCs w:val="24"/>
        </w:rPr>
        <w:t xml:space="preserve"> </w:t>
      </w:r>
      <w:r w:rsidRPr="006C0226">
        <w:rPr>
          <w:rFonts w:ascii="Times New Roman" w:hAnsi="Times New Roman" w:cs="Times New Roman"/>
          <w:sz w:val="24"/>
        </w:rPr>
        <w:t>Peraturan Pemerintah</w:t>
      </w:r>
      <w:r w:rsidRPr="006C0226">
        <w:rPr>
          <w:rFonts w:ascii="Times New Roman" w:hAnsi="Times New Roman" w:cs="Times New Roman"/>
          <w:sz w:val="24"/>
          <w:szCs w:val="24"/>
        </w:rPr>
        <w:t xml:space="preserve"> Nomor  71 Tahun 2010 tentang </w:t>
      </w:r>
      <w:r w:rsidRPr="006C0226">
        <w:rPr>
          <w:rFonts w:ascii="Times New Roman" w:hAnsi="Times New Roman" w:cs="Times New Roman"/>
          <w:i/>
          <w:sz w:val="24"/>
          <w:szCs w:val="24"/>
        </w:rPr>
        <w:t>Standar Akuntansi Pemerintah</w:t>
      </w:r>
      <w:r w:rsidRPr="006C0226">
        <w:rPr>
          <w:rFonts w:ascii="Times New Roman" w:hAnsi="Times New Roman" w:cs="Times New Roman"/>
          <w:sz w:val="24"/>
          <w:szCs w:val="24"/>
        </w:rPr>
        <w:t>.</w:t>
      </w:r>
    </w:p>
    <w:p w14:paraId="7EB5D9C7" w14:textId="77777777" w:rsidR="00577FF1" w:rsidRDefault="00577FF1" w:rsidP="00BC05F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Sanusi, Anwar. 2016. </w:t>
      </w:r>
      <w:r w:rsidRPr="0008283A">
        <w:rPr>
          <w:rFonts w:ascii="Times New Roman" w:hAnsi="Times New Roman" w:cs="Times New Roman"/>
          <w:i/>
          <w:sz w:val="24"/>
          <w:szCs w:val="24"/>
        </w:rPr>
        <w:t>Metode Penelitian Bisnis</w:t>
      </w:r>
      <w:r>
        <w:rPr>
          <w:rFonts w:ascii="Times New Roman" w:hAnsi="Times New Roman" w:cs="Times New Roman"/>
          <w:sz w:val="24"/>
          <w:szCs w:val="24"/>
        </w:rPr>
        <w:t>. Jakarta. Salembah Empat</w:t>
      </w:r>
    </w:p>
    <w:p w14:paraId="21709A3C" w14:textId="77777777" w:rsidR="00577FF1" w:rsidRPr="00C524CB" w:rsidRDefault="00577FF1" w:rsidP="008F26A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961">
        <w:rPr>
          <w:rFonts w:ascii="Times New Roman" w:hAnsi="Times New Roman" w:cs="Times New Roman"/>
          <w:sz w:val="24"/>
          <w:szCs w:val="24"/>
        </w:rPr>
        <w:t xml:space="preserve">Sumatera ekspres online. </w:t>
      </w:r>
      <w:r w:rsidRPr="00D84961">
        <w:rPr>
          <w:rFonts w:ascii="Times New Roman" w:hAnsi="Times New Roman" w:cs="Times New Roman"/>
          <w:i/>
          <w:sz w:val="24"/>
          <w:szCs w:val="24"/>
        </w:rPr>
        <w:t>Belanja Modal Rendah, Ekonomi Tersendat</w:t>
      </w:r>
      <w:r w:rsidRPr="00D84961">
        <w:rPr>
          <w:rFonts w:ascii="Times New Roman" w:hAnsi="Times New Roman" w:cs="Times New Roman"/>
          <w:sz w:val="24"/>
          <w:szCs w:val="24"/>
        </w:rPr>
        <w:t xml:space="preserve">. 2017. </w:t>
      </w:r>
      <w:hyperlink r:id="rId7" w:history="1">
        <w:r w:rsidRPr="0008283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http://sumeks.co.id/belanja-modal-rendah-ekonomi-tersendat</w:t>
        </w:r>
        <w:r w:rsidRPr="0008283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/</w:t>
        </w:r>
      </w:hyperlink>
      <w:r w:rsidRPr="000828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52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Diakses pada tanggal 2 juni 2018.</w:t>
      </w:r>
    </w:p>
    <w:p w14:paraId="77D9BBD9" w14:textId="77777777" w:rsidR="00577FF1" w:rsidRDefault="00577FF1" w:rsidP="001A40B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Penyusun. 2017. </w:t>
      </w:r>
      <w:r>
        <w:rPr>
          <w:rFonts w:ascii="Times New Roman" w:hAnsi="Times New Roman" w:cs="Times New Roman"/>
          <w:i/>
          <w:sz w:val="24"/>
          <w:szCs w:val="24"/>
        </w:rPr>
        <w:t xml:space="preserve">Buku Pedoman Penulisan Skripsi. </w:t>
      </w:r>
      <w:r>
        <w:rPr>
          <w:rFonts w:ascii="Times New Roman" w:hAnsi="Times New Roman" w:cs="Times New Roman"/>
          <w:sz w:val="24"/>
          <w:szCs w:val="24"/>
        </w:rPr>
        <w:t>Palembang: Jurusan Akuntansi Politeknik Negeri Sriwijaya.</w:t>
      </w:r>
    </w:p>
    <w:sectPr w:rsidR="00577FF1" w:rsidSect="00CD5161">
      <w:footerReference w:type="default" r:id="rId8"/>
      <w:headerReference w:type="first" r:id="rId9"/>
      <w:pgSz w:w="11906" w:h="16838"/>
      <w:pgMar w:top="2268" w:right="1701" w:bottom="1701" w:left="2268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EE583" w14:textId="77777777" w:rsidR="000F5EC5" w:rsidRDefault="000F5EC5" w:rsidP="00A816FC">
      <w:pPr>
        <w:spacing w:after="0" w:line="240" w:lineRule="auto"/>
      </w:pPr>
      <w:r>
        <w:separator/>
      </w:r>
    </w:p>
  </w:endnote>
  <w:endnote w:type="continuationSeparator" w:id="0">
    <w:p w14:paraId="41F9B7EF" w14:textId="77777777" w:rsidR="000F5EC5" w:rsidRDefault="000F5EC5" w:rsidP="00A8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774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BA5B9" w14:textId="61141E2C" w:rsidR="00C524CB" w:rsidRDefault="00C524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FF1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7BE8BAC8" w14:textId="77777777" w:rsidR="00C524CB" w:rsidRDefault="00C5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9907B" w14:textId="77777777" w:rsidR="000F5EC5" w:rsidRDefault="000F5EC5" w:rsidP="00A816FC">
      <w:pPr>
        <w:spacing w:after="0" w:line="240" w:lineRule="auto"/>
      </w:pPr>
      <w:r>
        <w:separator/>
      </w:r>
    </w:p>
  </w:footnote>
  <w:footnote w:type="continuationSeparator" w:id="0">
    <w:p w14:paraId="48F6FC49" w14:textId="77777777" w:rsidR="000F5EC5" w:rsidRDefault="000F5EC5" w:rsidP="00A8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84351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CDBECA" w14:textId="3C1D3B9C" w:rsidR="00C524CB" w:rsidRDefault="00C524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16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3D43D90C" w14:textId="77777777" w:rsidR="00C524CB" w:rsidRDefault="00C524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A4"/>
    <w:rsid w:val="00003123"/>
    <w:rsid w:val="0003753E"/>
    <w:rsid w:val="000413A2"/>
    <w:rsid w:val="000615AD"/>
    <w:rsid w:val="0008283A"/>
    <w:rsid w:val="000D23DE"/>
    <w:rsid w:val="000E0BBA"/>
    <w:rsid w:val="000E4288"/>
    <w:rsid w:val="000F5EC5"/>
    <w:rsid w:val="001048F0"/>
    <w:rsid w:val="00186CC7"/>
    <w:rsid w:val="00194488"/>
    <w:rsid w:val="001A40B4"/>
    <w:rsid w:val="001B093E"/>
    <w:rsid w:val="001D26D9"/>
    <w:rsid w:val="001E20DC"/>
    <w:rsid w:val="00210A01"/>
    <w:rsid w:val="002D053A"/>
    <w:rsid w:val="002D1044"/>
    <w:rsid w:val="002E6519"/>
    <w:rsid w:val="002F2D82"/>
    <w:rsid w:val="002F7885"/>
    <w:rsid w:val="003015B8"/>
    <w:rsid w:val="0034788B"/>
    <w:rsid w:val="00350228"/>
    <w:rsid w:val="0035556E"/>
    <w:rsid w:val="0036002C"/>
    <w:rsid w:val="00365ACB"/>
    <w:rsid w:val="004253D0"/>
    <w:rsid w:val="00436B89"/>
    <w:rsid w:val="00477C7C"/>
    <w:rsid w:val="004C1191"/>
    <w:rsid w:val="004C1FA4"/>
    <w:rsid w:val="00506C7D"/>
    <w:rsid w:val="00522C22"/>
    <w:rsid w:val="00524C75"/>
    <w:rsid w:val="005432F5"/>
    <w:rsid w:val="005472F2"/>
    <w:rsid w:val="00577FF1"/>
    <w:rsid w:val="005B09D8"/>
    <w:rsid w:val="005C1878"/>
    <w:rsid w:val="005F042E"/>
    <w:rsid w:val="006026E3"/>
    <w:rsid w:val="00621076"/>
    <w:rsid w:val="0062236D"/>
    <w:rsid w:val="006640BB"/>
    <w:rsid w:val="006749E5"/>
    <w:rsid w:val="00691EE3"/>
    <w:rsid w:val="006F2BD0"/>
    <w:rsid w:val="006F6015"/>
    <w:rsid w:val="00700882"/>
    <w:rsid w:val="00714B12"/>
    <w:rsid w:val="00731540"/>
    <w:rsid w:val="007568D7"/>
    <w:rsid w:val="007579B3"/>
    <w:rsid w:val="00764073"/>
    <w:rsid w:val="00766A35"/>
    <w:rsid w:val="00787252"/>
    <w:rsid w:val="007B5D20"/>
    <w:rsid w:val="007B6E85"/>
    <w:rsid w:val="007E4D93"/>
    <w:rsid w:val="007F5882"/>
    <w:rsid w:val="00803C8A"/>
    <w:rsid w:val="00812155"/>
    <w:rsid w:val="00857784"/>
    <w:rsid w:val="008838B0"/>
    <w:rsid w:val="008F08C6"/>
    <w:rsid w:val="008F26AF"/>
    <w:rsid w:val="008F4735"/>
    <w:rsid w:val="009013FF"/>
    <w:rsid w:val="00962EB0"/>
    <w:rsid w:val="00970B87"/>
    <w:rsid w:val="009A212D"/>
    <w:rsid w:val="009A7966"/>
    <w:rsid w:val="00A005A3"/>
    <w:rsid w:val="00A5244F"/>
    <w:rsid w:val="00A816FC"/>
    <w:rsid w:val="00AB3F43"/>
    <w:rsid w:val="00AC7C2B"/>
    <w:rsid w:val="00AD29B2"/>
    <w:rsid w:val="00B14BE4"/>
    <w:rsid w:val="00B37DF8"/>
    <w:rsid w:val="00B52850"/>
    <w:rsid w:val="00B823CD"/>
    <w:rsid w:val="00BC05FC"/>
    <w:rsid w:val="00BD4651"/>
    <w:rsid w:val="00BE3EED"/>
    <w:rsid w:val="00C018C0"/>
    <w:rsid w:val="00C2410A"/>
    <w:rsid w:val="00C524CB"/>
    <w:rsid w:val="00C53D23"/>
    <w:rsid w:val="00C77DA4"/>
    <w:rsid w:val="00CA385C"/>
    <w:rsid w:val="00CA5A72"/>
    <w:rsid w:val="00CC3722"/>
    <w:rsid w:val="00CC71F0"/>
    <w:rsid w:val="00CD5161"/>
    <w:rsid w:val="00CF481D"/>
    <w:rsid w:val="00D032A0"/>
    <w:rsid w:val="00D133DB"/>
    <w:rsid w:val="00D16563"/>
    <w:rsid w:val="00D23AF4"/>
    <w:rsid w:val="00D341C6"/>
    <w:rsid w:val="00D344A2"/>
    <w:rsid w:val="00D84961"/>
    <w:rsid w:val="00D959C2"/>
    <w:rsid w:val="00DA5080"/>
    <w:rsid w:val="00DD4B52"/>
    <w:rsid w:val="00DD6A59"/>
    <w:rsid w:val="00E43E8B"/>
    <w:rsid w:val="00E46B79"/>
    <w:rsid w:val="00E97FB8"/>
    <w:rsid w:val="00EB2666"/>
    <w:rsid w:val="00EC7645"/>
    <w:rsid w:val="00F037FC"/>
    <w:rsid w:val="00F071E2"/>
    <w:rsid w:val="00F8404B"/>
    <w:rsid w:val="00FD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437C"/>
  <w15:docId w15:val="{38568810-2CCB-4882-B6CC-069AC08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09D8"/>
  </w:style>
  <w:style w:type="paragraph" w:styleId="Heading1">
    <w:name w:val="heading 1"/>
    <w:basedOn w:val="Normal"/>
    <w:next w:val="Normal"/>
    <w:link w:val="Heading1Char"/>
    <w:uiPriority w:val="9"/>
    <w:qFormat/>
    <w:rsid w:val="00DD6A5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85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6A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DD6A59"/>
  </w:style>
  <w:style w:type="paragraph" w:styleId="Header">
    <w:name w:val="header"/>
    <w:basedOn w:val="Normal"/>
    <w:link w:val="HeaderChar"/>
    <w:uiPriority w:val="99"/>
    <w:unhideWhenUsed/>
    <w:rsid w:val="00A8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FC"/>
  </w:style>
  <w:style w:type="paragraph" w:styleId="Footer">
    <w:name w:val="footer"/>
    <w:basedOn w:val="Normal"/>
    <w:link w:val="FooterChar"/>
    <w:uiPriority w:val="99"/>
    <w:unhideWhenUsed/>
    <w:rsid w:val="00A81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FC"/>
  </w:style>
  <w:style w:type="paragraph" w:styleId="BalloonText">
    <w:name w:val="Balloon Text"/>
    <w:basedOn w:val="Normal"/>
    <w:link w:val="BalloonTextChar"/>
    <w:uiPriority w:val="99"/>
    <w:semiHidden/>
    <w:unhideWhenUsed/>
    <w:rsid w:val="00E43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72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04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umeks.co.id/belanja-modal-rendah-ekonomi-tersend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Dar15</b:Tag>
    <b:SourceType>JournalArticle</b:SourceType>
    <b:Guid>{DBF60315-9E15-47B4-BDA1-85BA80081FF9}</b:Guid>
    <b:Author>
      <b:Author>
        <b:NameList>
          <b:Person>
            <b:Last>Darmawan</b:Last>
            <b:First>Aggi</b:First>
          </b:Person>
        </b:NameList>
      </b:Author>
    </b:Author>
    <b:Title>Pengaruh Dana Perimbangan, Pendapatan Asli Daerah (PAD) Dan Sisa Lebih Perhitungan Anggaran (SILPA) Terhadap Belanja Modal</b:Title>
    <b:Year>2015</b:Year>
    <b:RefOrder>1</b:RefOrder>
  </b:Source>
</b:Sources>
</file>

<file path=customXml/itemProps1.xml><?xml version="1.0" encoding="utf-8"?>
<ds:datastoreItem xmlns:ds="http://schemas.openxmlformats.org/officeDocument/2006/customXml" ds:itemID="{FA7DCA10-A7CE-4CEC-AEE4-54CB9203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7</cp:revision>
  <cp:lastPrinted>2018-07-30T01:49:00Z</cp:lastPrinted>
  <dcterms:created xsi:type="dcterms:W3CDTF">2018-07-15T19:07:00Z</dcterms:created>
  <dcterms:modified xsi:type="dcterms:W3CDTF">2018-08-01T03:03:00Z</dcterms:modified>
</cp:coreProperties>
</file>